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3B78F435"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53045A">
        <w:rPr>
          <w:rFonts w:ascii="Arial" w:eastAsia="Batang" w:hAnsi="Arial" w:cs="Arial"/>
          <w:b/>
          <w:bCs/>
          <w:sz w:val="28"/>
          <w:szCs w:val="24"/>
        </w:rPr>
        <w:t> </w:t>
      </w:r>
      <w:r w:rsidRPr="00926446">
        <w:rPr>
          <w:rFonts w:ascii="Arial" w:eastAsia="Batang" w:hAnsi="Arial" w:cs="Arial"/>
          <w:b/>
          <w:bCs/>
          <w:sz w:val="28"/>
          <w:szCs w:val="24"/>
        </w:rPr>
        <w:t>10</w:t>
      </w:r>
      <w:r w:rsidR="007A5950">
        <w:rPr>
          <w:rFonts w:ascii="Arial" w:eastAsia="Batang" w:hAnsi="Arial" w:cs="Arial"/>
          <w:b/>
          <w:bCs/>
          <w:sz w:val="28"/>
          <w:szCs w:val="24"/>
        </w:rPr>
        <w:t>5</w:t>
      </w:r>
      <w:r>
        <w:rPr>
          <w:rFonts w:ascii="Arial" w:eastAsia="Batang" w:hAnsi="Arial" w:cs="Arial"/>
          <w:b/>
          <w:bCs/>
          <w:sz w:val="28"/>
          <w:szCs w:val="24"/>
        </w:rPr>
        <w:t>-e</w:t>
      </w:r>
      <w:r w:rsidR="007A5950">
        <w:rPr>
          <w:rFonts w:ascii="Arial" w:eastAsia="Batang" w:hAnsi="Arial" w:cs="Arial"/>
          <w:b/>
          <w:bCs/>
          <w:sz w:val="28"/>
          <w:szCs w:val="24"/>
        </w:rPr>
        <w:t xml:space="preserve">  </w:t>
      </w:r>
      <w:r>
        <w:rPr>
          <w:rFonts w:ascii="Arial" w:eastAsia="Batang" w:hAnsi="Arial" w:cs="Arial"/>
          <w:b/>
          <w:bCs/>
          <w:sz w:val="28"/>
          <w:szCs w:val="24"/>
        </w:rPr>
        <w:t xml:space="preserve">                                                               </w:t>
      </w:r>
      <w:r w:rsidR="00D67CDC" w:rsidRPr="00D67CDC">
        <w:rPr>
          <w:rFonts w:ascii="Arial" w:eastAsia="Batang" w:hAnsi="Arial" w:cs="Arial"/>
          <w:b/>
          <w:bCs/>
          <w:sz w:val="28"/>
          <w:szCs w:val="24"/>
        </w:rPr>
        <w:t>R1-2104904</w:t>
      </w:r>
    </w:p>
    <w:p w14:paraId="3E4793CA" w14:textId="7296DBF4" w:rsidR="0053045A" w:rsidRPr="002E16F4" w:rsidRDefault="0053045A" w:rsidP="0053045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w:t>
      </w:r>
      <w:r w:rsidR="007A5950">
        <w:rPr>
          <w:rFonts w:ascii="Arial" w:eastAsia="MS Mincho" w:hAnsi="Arial" w:cs="Arial"/>
          <w:b/>
          <w:bCs/>
          <w:sz w:val="28"/>
          <w:szCs w:val="24"/>
          <w:lang w:eastAsia="ja-JP"/>
        </w:rPr>
        <w:t>0</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2</w:t>
      </w:r>
      <w:r w:rsidR="007A5950">
        <w:rPr>
          <w:rFonts w:ascii="Arial" w:eastAsia="MS Mincho" w:hAnsi="Arial" w:cs="Arial"/>
          <w:b/>
          <w:bCs/>
          <w:sz w:val="28"/>
          <w:szCs w:val="24"/>
          <w:lang w:eastAsia="ja-JP"/>
        </w:rPr>
        <w:t>7</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7A5950">
        <w:rPr>
          <w:rFonts w:ascii="Arial" w:eastAsia="MS Mincho" w:hAnsi="Arial" w:cs="Arial"/>
          <w:b/>
          <w:bCs/>
          <w:sz w:val="28"/>
          <w:szCs w:val="24"/>
          <w:lang w:eastAsia="ja-JP"/>
        </w:rPr>
        <w:t>May</w:t>
      </w:r>
      <w:r>
        <w:rPr>
          <w:rFonts w:ascii="Arial" w:eastAsia="MS Mincho" w:hAnsi="Arial" w:cs="Arial"/>
          <w:b/>
          <w:bCs/>
          <w:sz w:val="28"/>
          <w:szCs w:val="24"/>
          <w:lang w:eastAsia="ja-JP"/>
        </w:rPr>
        <w:t>,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6C0ADD61"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7F23AF" w:rsidRPr="007F23AF">
        <w:rPr>
          <w:rFonts w:ascii="Arial" w:eastAsia="Malgun Gothic" w:hAnsi="Arial" w:cs="Arial"/>
          <w:b/>
          <w:sz w:val="24"/>
          <w:lang w:val="en-US" w:eastAsia="ko-KR"/>
        </w:rPr>
        <w:t xml:space="preserve">On </w:t>
      </w:r>
      <w:r w:rsidR="00D2228D">
        <w:rPr>
          <w:rFonts w:ascii="Arial" w:eastAsia="Malgun Gothic" w:hAnsi="Arial" w:cs="Arial"/>
          <w:b/>
          <w:sz w:val="24"/>
          <w:lang w:val="en-US" w:eastAsia="ko-KR"/>
        </w:rPr>
        <w:t>UL time and frequency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54929D5F"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 xml:space="preserve">[2] </w:t>
      </w:r>
      <w:r w:rsidR="00F664A2">
        <w:rPr>
          <w:sz w:val="22"/>
          <w:szCs w:val="22"/>
          <w:lang w:eastAsia="ko-KR"/>
        </w:rPr>
        <w:t>changes to NR specification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One of the main challenges for NTN to operate is UL time and frequency synchronization. In this contribution aspects related to UL time and frequency synchronization are discussed considering principles identified in [</w:t>
      </w:r>
      <w:r w:rsidR="008E1F28">
        <w:rPr>
          <w:sz w:val="22"/>
          <w:szCs w:val="22"/>
          <w:lang w:eastAsia="ko-KR"/>
        </w:rPr>
        <w:t>1</w:t>
      </w:r>
      <w:r w:rsidR="001E181F" w:rsidRPr="000B4ADF">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0F282411" w14:textId="567FBD2C" w:rsidR="00422AB3" w:rsidRDefault="00B564AB" w:rsidP="000028F2">
      <w:pPr>
        <w:tabs>
          <w:tab w:val="left" w:pos="2552"/>
          <w:tab w:val="left" w:pos="9781"/>
        </w:tabs>
        <w:spacing w:after="240" w:line="276" w:lineRule="auto"/>
        <w:jc w:val="both"/>
        <w:rPr>
          <w:sz w:val="22"/>
          <w:szCs w:val="22"/>
        </w:rPr>
      </w:pPr>
      <w:r>
        <w:rPr>
          <w:sz w:val="22"/>
          <w:szCs w:val="22"/>
        </w:rPr>
        <w:t xml:space="preserve">At the </w:t>
      </w:r>
      <w:r w:rsidR="00485A7F">
        <w:rPr>
          <w:sz w:val="22"/>
          <w:szCs w:val="22"/>
        </w:rPr>
        <w:t>previous</w:t>
      </w:r>
      <w:r>
        <w:rPr>
          <w:sz w:val="22"/>
          <w:szCs w:val="22"/>
        </w:rPr>
        <w:t xml:space="preserve"> RAN1 meeting</w:t>
      </w:r>
      <w:r w:rsidR="00422AB3">
        <w:rPr>
          <w:sz w:val="22"/>
          <w:szCs w:val="22"/>
        </w:rPr>
        <w:t>s</w:t>
      </w:r>
      <w:r>
        <w:rPr>
          <w:sz w:val="22"/>
          <w:szCs w:val="22"/>
        </w:rPr>
        <w:t xml:space="preserve"> [3</w:t>
      </w:r>
      <w:r w:rsidR="00422AB3">
        <w:rPr>
          <w:sz w:val="22"/>
          <w:szCs w:val="22"/>
        </w:rPr>
        <w:t>, 4</w:t>
      </w:r>
      <w:r>
        <w:rPr>
          <w:sz w:val="22"/>
          <w:szCs w:val="22"/>
        </w:rPr>
        <w:t xml:space="preserve">] it was agreed that </w:t>
      </w:r>
      <w:r w:rsidR="009143D6" w:rsidRPr="009143D6">
        <w:rPr>
          <w:sz w:val="22"/>
          <w:szCs w:val="22"/>
        </w:rPr>
        <w:t>NTN UE is required to support UE specific TA calculation</w:t>
      </w:r>
      <w:r w:rsidR="009143D6">
        <w:rPr>
          <w:sz w:val="22"/>
          <w:szCs w:val="22"/>
        </w:rPr>
        <w:t xml:space="preserve"> </w:t>
      </w:r>
      <w:r w:rsidR="001430B9">
        <w:rPr>
          <w:sz w:val="22"/>
          <w:szCs w:val="22"/>
        </w:rPr>
        <w:t xml:space="preserve">and </w:t>
      </w:r>
      <w:r w:rsidR="001430B9" w:rsidRPr="009143D6">
        <w:rPr>
          <w:sz w:val="22"/>
          <w:szCs w:val="22"/>
        </w:rPr>
        <w:t>frequency</w:t>
      </w:r>
      <w:r w:rsidR="009143D6" w:rsidRPr="009143D6">
        <w:rPr>
          <w:sz w:val="22"/>
          <w:szCs w:val="22"/>
        </w:rPr>
        <w:t xml:space="preserve"> pre-compensation </w:t>
      </w:r>
      <w:r w:rsidR="009143D6">
        <w:rPr>
          <w:sz w:val="22"/>
          <w:szCs w:val="22"/>
        </w:rPr>
        <w:t>based</w:t>
      </w:r>
      <w:r w:rsidR="009143D6" w:rsidRPr="009143D6">
        <w:rPr>
          <w:sz w:val="22"/>
          <w:szCs w:val="22"/>
        </w:rPr>
        <w:t xml:space="preserve"> on its GNSS-acquired position and the serving satellite ephemeris</w:t>
      </w:r>
      <w:r w:rsidR="009143D6">
        <w:rPr>
          <w:sz w:val="22"/>
          <w:szCs w:val="22"/>
        </w:rPr>
        <w:t xml:space="preserve"> in </w:t>
      </w:r>
      <w:r w:rsidR="009143D6" w:rsidRPr="009143D6">
        <w:rPr>
          <w:sz w:val="22"/>
          <w:szCs w:val="22"/>
        </w:rPr>
        <w:t>RRC_IDLE</w:t>
      </w:r>
      <w:r w:rsidR="005E6D50">
        <w:rPr>
          <w:sz w:val="22"/>
          <w:szCs w:val="22"/>
        </w:rPr>
        <w:t xml:space="preserve">, </w:t>
      </w:r>
      <w:r w:rsidR="009143D6" w:rsidRPr="009143D6">
        <w:rPr>
          <w:sz w:val="22"/>
          <w:szCs w:val="22"/>
        </w:rPr>
        <w:t>RRC_INACTIVE</w:t>
      </w:r>
      <w:r w:rsidR="005E6D50">
        <w:rPr>
          <w:sz w:val="22"/>
          <w:szCs w:val="22"/>
        </w:rPr>
        <w:t xml:space="preserve"> and RRC_CONNECTED</w:t>
      </w:r>
      <w:r w:rsidR="009143D6">
        <w:rPr>
          <w:sz w:val="22"/>
          <w:szCs w:val="22"/>
        </w:rPr>
        <w:t xml:space="preserve"> states.</w:t>
      </w:r>
      <w:r w:rsidR="001430B9">
        <w:rPr>
          <w:sz w:val="22"/>
          <w:szCs w:val="22"/>
        </w:rPr>
        <w:t xml:space="preserve"> </w:t>
      </w:r>
      <w:r w:rsidR="00706E28">
        <w:rPr>
          <w:sz w:val="22"/>
          <w:szCs w:val="22"/>
        </w:rPr>
        <w:t xml:space="preserve">Thus, it is assumed that UE </w:t>
      </w:r>
      <w:r w:rsidR="005232C9">
        <w:rPr>
          <w:sz w:val="22"/>
          <w:szCs w:val="22"/>
        </w:rPr>
        <w:t>applies</w:t>
      </w:r>
      <w:r w:rsidR="00706E28">
        <w:rPr>
          <w:sz w:val="22"/>
          <w:szCs w:val="22"/>
        </w:rPr>
        <w:t xml:space="preserve"> </w:t>
      </w:r>
      <w:r w:rsidR="005232C9">
        <w:rPr>
          <w:sz w:val="22"/>
          <w:szCs w:val="22"/>
        </w:rPr>
        <w:t>UE-specific autonomous TA and frequency offset</w:t>
      </w:r>
      <w:r w:rsidR="00706E28">
        <w:rPr>
          <w:sz w:val="22"/>
          <w:szCs w:val="22"/>
        </w:rPr>
        <w:t xml:space="preserve"> pre-compensation</w:t>
      </w:r>
      <w:r w:rsidR="005232C9">
        <w:rPr>
          <w:sz w:val="22"/>
          <w:szCs w:val="22"/>
        </w:rPr>
        <w:t xml:space="preserve"> for UL transmission to compensate delay and Doppler</w:t>
      </w:r>
      <w:r w:rsidR="00706E28">
        <w:rPr>
          <w:sz w:val="22"/>
          <w:szCs w:val="22"/>
        </w:rPr>
        <w:t xml:space="preserve"> </w:t>
      </w:r>
      <w:r w:rsidR="005B38D8">
        <w:rPr>
          <w:sz w:val="22"/>
          <w:szCs w:val="22"/>
        </w:rPr>
        <w:t>for the link between the satellite and the UE</w:t>
      </w:r>
      <w:r w:rsidR="0000668B">
        <w:rPr>
          <w:sz w:val="22"/>
          <w:szCs w:val="22"/>
        </w:rPr>
        <w:t xml:space="preserve"> (service link)</w:t>
      </w:r>
      <w:r w:rsidR="005B38D8">
        <w:rPr>
          <w:sz w:val="22"/>
          <w:szCs w:val="22"/>
        </w:rPr>
        <w:t>.</w:t>
      </w:r>
      <w:r w:rsidR="005232C9">
        <w:rPr>
          <w:sz w:val="22"/>
          <w:szCs w:val="22"/>
        </w:rPr>
        <w:t xml:space="preserve"> </w:t>
      </w:r>
    </w:p>
    <w:p w14:paraId="52F49A0E" w14:textId="56860BE0" w:rsidR="00803E58" w:rsidRDefault="005945AB" w:rsidP="000028F2">
      <w:pPr>
        <w:tabs>
          <w:tab w:val="left" w:pos="2552"/>
          <w:tab w:val="left" w:pos="9781"/>
        </w:tabs>
        <w:spacing w:after="240" w:line="276" w:lineRule="auto"/>
        <w:jc w:val="both"/>
        <w:rPr>
          <w:sz w:val="22"/>
          <w:szCs w:val="22"/>
        </w:rPr>
      </w:pPr>
      <w:r>
        <w:rPr>
          <w:sz w:val="22"/>
          <w:szCs w:val="22"/>
        </w:rPr>
        <w:t>F</w:t>
      </w:r>
      <w:r w:rsidR="005232C9">
        <w:rPr>
          <w:sz w:val="22"/>
          <w:szCs w:val="22"/>
        </w:rPr>
        <w:t>or transparent payload case</w:t>
      </w:r>
      <w:r>
        <w:rPr>
          <w:sz w:val="22"/>
          <w:szCs w:val="22"/>
        </w:rPr>
        <w:t xml:space="preserve"> where gNB is located </w:t>
      </w:r>
      <w:r w:rsidR="002927CD">
        <w:rPr>
          <w:sz w:val="22"/>
          <w:szCs w:val="22"/>
        </w:rPr>
        <w:t>near</w:t>
      </w:r>
      <w:r>
        <w:rPr>
          <w:sz w:val="22"/>
          <w:szCs w:val="22"/>
        </w:rPr>
        <w:t xml:space="preserve"> the gateway</w:t>
      </w:r>
      <w:r w:rsidR="00575EF4">
        <w:rPr>
          <w:sz w:val="22"/>
          <w:szCs w:val="22"/>
        </w:rPr>
        <w:t xml:space="preserve"> on the ground</w:t>
      </w:r>
      <w:r w:rsidR="005232C9">
        <w:rPr>
          <w:sz w:val="22"/>
          <w:szCs w:val="22"/>
        </w:rPr>
        <w:t>, UL signal received at the gNB has time and frequency offset which is common for all UEs corresponding to the delay and Doppler in the link between satellite and the gateway</w:t>
      </w:r>
      <w:r w:rsidR="00497383">
        <w:rPr>
          <w:sz w:val="22"/>
          <w:szCs w:val="22"/>
        </w:rPr>
        <w:t xml:space="preserve"> (feeder link)</w:t>
      </w:r>
      <w:r w:rsidR="005232C9">
        <w:rPr>
          <w:sz w:val="22"/>
          <w:szCs w:val="22"/>
        </w:rPr>
        <w:t xml:space="preserve">. </w:t>
      </w:r>
      <w:r w:rsidR="00A349A8">
        <w:rPr>
          <w:sz w:val="22"/>
          <w:szCs w:val="22"/>
        </w:rPr>
        <w:t xml:space="preserve">The time and frequency offset </w:t>
      </w:r>
      <w:r w:rsidR="00C31605">
        <w:rPr>
          <w:sz w:val="22"/>
          <w:szCs w:val="22"/>
        </w:rPr>
        <w:t xml:space="preserve">introduced in </w:t>
      </w:r>
      <w:r w:rsidR="00121A0E">
        <w:rPr>
          <w:sz w:val="22"/>
          <w:szCs w:val="22"/>
        </w:rPr>
        <w:t xml:space="preserve">the </w:t>
      </w:r>
      <w:r w:rsidR="00C31605">
        <w:rPr>
          <w:sz w:val="22"/>
          <w:szCs w:val="22"/>
        </w:rPr>
        <w:t>feeder</w:t>
      </w:r>
      <w:r w:rsidR="00A349A8">
        <w:rPr>
          <w:sz w:val="22"/>
          <w:szCs w:val="22"/>
        </w:rPr>
        <w:t xml:space="preserve"> link can be post-compensated by the gNB or pre-compensated by the UE.</w:t>
      </w:r>
      <w:r w:rsidR="003618C8">
        <w:rPr>
          <w:sz w:val="22"/>
          <w:szCs w:val="22"/>
        </w:rPr>
        <w:t xml:space="preserve"> </w:t>
      </w:r>
      <w:r w:rsidR="002E304E">
        <w:rPr>
          <w:sz w:val="22"/>
          <w:szCs w:val="22"/>
        </w:rPr>
        <w:t xml:space="preserve">For the compensation of feeder link </w:t>
      </w:r>
      <w:r w:rsidR="00412E3A">
        <w:rPr>
          <w:sz w:val="22"/>
          <w:szCs w:val="22"/>
        </w:rPr>
        <w:t>delay,</w:t>
      </w:r>
      <w:r w:rsidR="002E304E">
        <w:rPr>
          <w:sz w:val="22"/>
          <w:szCs w:val="22"/>
        </w:rPr>
        <w:t xml:space="preserve"> it was already agreed in [3] to support common TA indication which allows to enable deployment with aligned UL and DL timing at the gNB</w:t>
      </w:r>
      <w:r w:rsidR="00981BB1">
        <w:rPr>
          <w:sz w:val="22"/>
          <w:szCs w:val="22"/>
        </w:rPr>
        <w:t>.</w:t>
      </w:r>
      <w:r w:rsidR="002E304E">
        <w:rPr>
          <w:sz w:val="22"/>
          <w:szCs w:val="22"/>
        </w:rPr>
        <w:t xml:space="preserve"> </w:t>
      </w:r>
      <w:r w:rsidR="00CC0438">
        <w:rPr>
          <w:sz w:val="22"/>
          <w:szCs w:val="22"/>
        </w:rPr>
        <w:t xml:space="preserve">In order to decrease the overhead of common TA reconfiguration for non-GEO satellite case indication of common TA drift rate </w:t>
      </w:r>
      <w:r w:rsidR="00803E58">
        <w:rPr>
          <w:sz w:val="22"/>
          <w:szCs w:val="22"/>
        </w:rPr>
        <w:t>is required</w:t>
      </w:r>
      <w:r w:rsidR="00CC0438">
        <w:rPr>
          <w:sz w:val="22"/>
          <w:szCs w:val="22"/>
        </w:rPr>
        <w:t xml:space="preserve">. </w:t>
      </w:r>
      <w:r w:rsidR="00803E58">
        <w:rPr>
          <w:sz w:val="22"/>
          <w:szCs w:val="22"/>
        </w:rPr>
        <w:t xml:space="preserve">Furthermore, to decrease the overhead of common TA and common TA drift rate reconfiguration indication of </w:t>
      </w:r>
      <w:r w:rsidR="00803E58" w:rsidRPr="00803E58">
        <w:rPr>
          <w:sz w:val="22"/>
          <w:szCs w:val="22"/>
        </w:rPr>
        <w:t xml:space="preserve">common TA drift </w:t>
      </w:r>
      <w:r w:rsidR="00803E58">
        <w:rPr>
          <w:sz w:val="22"/>
          <w:szCs w:val="22"/>
        </w:rPr>
        <w:t xml:space="preserve">variation </w:t>
      </w:r>
      <w:r w:rsidR="00803E58" w:rsidRPr="00803E58">
        <w:rPr>
          <w:sz w:val="22"/>
          <w:szCs w:val="22"/>
        </w:rPr>
        <w:t>rate</w:t>
      </w:r>
      <w:r w:rsidR="00803E58">
        <w:rPr>
          <w:sz w:val="22"/>
          <w:szCs w:val="22"/>
        </w:rPr>
        <w:t xml:space="preserve"> can be considered which is the second derivative of the common TA</w:t>
      </w:r>
      <w:r w:rsidR="00AA6356">
        <w:rPr>
          <w:sz w:val="22"/>
          <w:szCs w:val="22"/>
        </w:rPr>
        <w:t xml:space="preserve"> (as a function of time)</w:t>
      </w:r>
      <w:r w:rsidR="00803E58">
        <w:rPr>
          <w:sz w:val="22"/>
          <w:szCs w:val="22"/>
        </w:rPr>
        <w:t xml:space="preserve">. </w:t>
      </w:r>
    </w:p>
    <w:p w14:paraId="76D7863C" w14:textId="0039A1E8" w:rsidR="004B341E" w:rsidRPr="00FA60A2" w:rsidRDefault="00CC0438" w:rsidP="00FA60A2">
      <w:pPr>
        <w:tabs>
          <w:tab w:val="left" w:pos="2552"/>
          <w:tab w:val="left" w:pos="9781"/>
        </w:tabs>
        <w:spacing w:after="240" w:line="276" w:lineRule="auto"/>
        <w:jc w:val="both"/>
        <w:rPr>
          <w:sz w:val="22"/>
          <w:szCs w:val="22"/>
        </w:rPr>
      </w:pPr>
      <w:r>
        <w:rPr>
          <w:sz w:val="22"/>
          <w:szCs w:val="22"/>
        </w:rPr>
        <w:t xml:space="preserve">Alternately, indication of reference point for pre-compensation can be supported. In this case UE can determine common TA based on the distance between satellite and reference point and update it autonomously. </w:t>
      </w:r>
      <w:r w:rsidR="004B341E">
        <w:rPr>
          <w:b/>
          <w:bCs/>
          <w:i/>
          <w:iCs/>
          <w:sz w:val="22"/>
          <w:szCs w:val="22"/>
        </w:rPr>
        <w:br w:type="page"/>
      </w:r>
    </w:p>
    <w:p w14:paraId="29D23DE0" w14:textId="23EA8405" w:rsidR="00AC0B3F" w:rsidRDefault="003618C8" w:rsidP="000028F2">
      <w:pPr>
        <w:tabs>
          <w:tab w:val="left" w:pos="2552"/>
          <w:tab w:val="left" w:pos="9781"/>
        </w:tabs>
        <w:spacing w:after="240" w:line="276" w:lineRule="auto"/>
        <w:jc w:val="both"/>
        <w:rPr>
          <w:sz w:val="22"/>
          <w:szCs w:val="22"/>
        </w:rPr>
      </w:pPr>
      <w:r w:rsidRPr="003618C8">
        <w:rPr>
          <w:b/>
          <w:bCs/>
          <w:i/>
          <w:iCs/>
          <w:sz w:val="22"/>
          <w:szCs w:val="22"/>
        </w:rPr>
        <w:lastRenderedPageBreak/>
        <w:t>Proposal 1</w:t>
      </w:r>
      <w:r>
        <w:rPr>
          <w:sz w:val="22"/>
          <w:szCs w:val="22"/>
        </w:rPr>
        <w:t xml:space="preserve">: </w:t>
      </w:r>
    </w:p>
    <w:p w14:paraId="5C18AE61" w14:textId="70E922D0" w:rsidR="00FD458C" w:rsidRDefault="00CC0438" w:rsidP="00CC0438">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Support</w:t>
      </w:r>
      <w:r w:rsidR="00FA60A2">
        <w:rPr>
          <w:rFonts w:ascii="Times New Roman" w:hAnsi="Times New Roman"/>
          <w:i/>
          <w:iCs/>
        </w:rPr>
        <w:t xml:space="preserve"> at least</w:t>
      </w:r>
      <w:r w:rsidRPr="00CC0438">
        <w:rPr>
          <w:rFonts w:ascii="Times New Roman" w:hAnsi="Times New Roman"/>
          <w:i/>
          <w:iCs/>
        </w:rPr>
        <w:t xml:space="preserve"> common TA drift rate indication</w:t>
      </w:r>
    </w:p>
    <w:p w14:paraId="7A2A3C3C" w14:textId="0393AE24" w:rsidR="00CC0438" w:rsidRDefault="00CC0438" w:rsidP="00CC0438">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Alternatively, b</w:t>
      </w:r>
      <w:r w:rsidRPr="00CC0438">
        <w:rPr>
          <w:rFonts w:ascii="Times New Roman" w:hAnsi="Times New Roman"/>
          <w:i/>
          <w:iCs/>
        </w:rPr>
        <w:t xml:space="preserve">roadcast of reference point for pre-compensation of feeder link delay can be considered to avoid frequent </w:t>
      </w:r>
      <w:r w:rsidR="00397F50" w:rsidRPr="00CC0438">
        <w:rPr>
          <w:rFonts w:ascii="Times New Roman" w:hAnsi="Times New Roman"/>
          <w:i/>
          <w:iCs/>
        </w:rPr>
        <w:t>reconfiguration</w:t>
      </w:r>
    </w:p>
    <w:p w14:paraId="450772F5" w14:textId="5B77C28C" w:rsidR="00D85903" w:rsidRDefault="00D721D8" w:rsidP="000028F2">
      <w:pPr>
        <w:tabs>
          <w:tab w:val="left" w:pos="2552"/>
          <w:tab w:val="left" w:pos="9781"/>
        </w:tabs>
        <w:spacing w:after="240" w:line="276" w:lineRule="auto"/>
        <w:jc w:val="both"/>
        <w:rPr>
          <w:sz w:val="22"/>
          <w:szCs w:val="22"/>
        </w:rPr>
      </w:pPr>
      <w:r>
        <w:rPr>
          <w:sz w:val="22"/>
          <w:szCs w:val="22"/>
        </w:rPr>
        <w:t xml:space="preserve">At the last RAN1 meeting the need of TA margin was discussed. </w:t>
      </w:r>
      <w:r w:rsidR="00F822CE">
        <w:rPr>
          <w:sz w:val="22"/>
          <w:szCs w:val="22"/>
        </w:rPr>
        <w:t xml:space="preserve">In our view </w:t>
      </w:r>
      <w:r w:rsidR="00485A7F">
        <w:rPr>
          <w:sz w:val="22"/>
          <w:szCs w:val="22"/>
        </w:rPr>
        <w:t>there is no need</w:t>
      </w:r>
      <w:r w:rsidR="00F822CE">
        <w:rPr>
          <w:sz w:val="22"/>
          <w:szCs w:val="22"/>
        </w:rPr>
        <w:t xml:space="preserve"> to introduce separate configuration for TA margin since it can be considered within common TA</w:t>
      </w:r>
      <w:r w:rsidR="009A100D">
        <w:rPr>
          <w:sz w:val="22"/>
          <w:szCs w:val="22"/>
        </w:rPr>
        <w:t>.</w:t>
      </w:r>
    </w:p>
    <w:p w14:paraId="0BDBAA51" w14:textId="51AFAFB0" w:rsidR="009A100D" w:rsidRDefault="009A100D" w:rsidP="000028F2">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5BF3DF22" w14:textId="01B61F34" w:rsidR="009A100D" w:rsidRPr="009A100D" w:rsidRDefault="009A100D" w:rsidP="009A100D">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391DA7B4" w14:textId="3F3F5C85" w:rsidR="00737BC2" w:rsidRDefault="005F5D69" w:rsidP="000028F2">
      <w:pPr>
        <w:tabs>
          <w:tab w:val="left" w:pos="2552"/>
          <w:tab w:val="left" w:pos="9781"/>
        </w:tabs>
        <w:spacing w:after="240" w:line="276" w:lineRule="auto"/>
        <w:jc w:val="both"/>
        <w:rPr>
          <w:sz w:val="22"/>
          <w:szCs w:val="22"/>
        </w:rPr>
      </w:pPr>
      <w:r w:rsidRPr="005F5D69">
        <w:rPr>
          <w:sz w:val="22"/>
          <w:szCs w:val="22"/>
        </w:rPr>
        <w:t>DL synchronization procedure may be more complex for NTN comparing to terrestrial networks due to larger frequency uncertainty</w:t>
      </w:r>
      <w:r w:rsidR="00021BA0">
        <w:rPr>
          <w:sz w:val="22"/>
          <w:szCs w:val="22"/>
        </w:rPr>
        <w:t xml:space="preserve"> at the UE side</w:t>
      </w:r>
      <w:r w:rsidR="00E622DC">
        <w:rPr>
          <w:sz w:val="22"/>
          <w:szCs w:val="22"/>
        </w:rPr>
        <w:t xml:space="preserve"> introduced by Doppler shift in service link</w:t>
      </w:r>
      <w:r w:rsidRPr="005F5D69">
        <w:rPr>
          <w:sz w:val="22"/>
          <w:szCs w:val="22"/>
        </w:rPr>
        <w:t xml:space="preserve">. This frequency uncertainty for DL synchronisation can be reduced by applying pre-compensation of </w:t>
      </w:r>
      <w:r w:rsidR="004C116F">
        <w:rPr>
          <w:sz w:val="22"/>
          <w:szCs w:val="22"/>
        </w:rPr>
        <w:t xml:space="preserve">cell-specific </w:t>
      </w:r>
      <w:r w:rsidRPr="005F5D69">
        <w:rPr>
          <w:sz w:val="22"/>
          <w:szCs w:val="22"/>
        </w:rPr>
        <w:t xml:space="preserve">frequency offset for DL transmission at the gNB side. Such possibility for cell-specific </w:t>
      </w:r>
      <w:bookmarkStart w:id="0" w:name="_Hlk61635717"/>
      <w:r w:rsidRPr="005F5D69">
        <w:rPr>
          <w:sz w:val="22"/>
          <w:szCs w:val="22"/>
        </w:rPr>
        <w:t xml:space="preserve">frequency offset pre-compensation for DL </w:t>
      </w:r>
      <w:bookmarkEnd w:id="0"/>
      <w:r w:rsidRPr="005F5D69">
        <w:rPr>
          <w:sz w:val="22"/>
          <w:szCs w:val="22"/>
        </w:rPr>
        <w:t>should be considered for UL synchronization to avoid potential misalignment of UL carrier frequency expected at the gNB receiver.</w:t>
      </w:r>
      <w:r w:rsidR="00287E37">
        <w:rPr>
          <w:sz w:val="22"/>
          <w:szCs w:val="22"/>
        </w:rPr>
        <w:t xml:space="preserve"> As it was shown in our contribution [</w:t>
      </w:r>
      <w:r w:rsidR="00256085">
        <w:rPr>
          <w:sz w:val="22"/>
          <w:szCs w:val="22"/>
        </w:rPr>
        <w:t>5</w:t>
      </w:r>
      <w:r w:rsidR="00287E37">
        <w:rPr>
          <w:sz w:val="22"/>
          <w:szCs w:val="22"/>
        </w:rPr>
        <w:t xml:space="preserve">], </w:t>
      </w:r>
      <w:r w:rsidR="003F5588">
        <w:rPr>
          <w:sz w:val="22"/>
          <w:szCs w:val="22"/>
        </w:rPr>
        <w:t xml:space="preserve">it is not necessary to indicate the value of </w:t>
      </w:r>
      <w:r w:rsidR="003F5588" w:rsidRPr="003F5588">
        <w:rPr>
          <w:sz w:val="22"/>
          <w:szCs w:val="22"/>
        </w:rPr>
        <w:t>frequency offset</w:t>
      </w:r>
      <w:r w:rsidR="003F5588">
        <w:rPr>
          <w:sz w:val="22"/>
          <w:szCs w:val="22"/>
        </w:rPr>
        <w:t xml:space="preserve"> for</w:t>
      </w:r>
      <w:r w:rsidR="003F5588" w:rsidRPr="003F5588">
        <w:rPr>
          <w:sz w:val="22"/>
          <w:szCs w:val="22"/>
        </w:rPr>
        <w:t xml:space="preserve"> pre-compensation </w:t>
      </w:r>
      <w:r w:rsidR="003F5588">
        <w:rPr>
          <w:sz w:val="22"/>
          <w:szCs w:val="22"/>
        </w:rPr>
        <w:t xml:space="preserve">applied </w:t>
      </w:r>
      <w:r w:rsidR="003F5588" w:rsidRPr="003F5588">
        <w:rPr>
          <w:sz w:val="22"/>
          <w:szCs w:val="22"/>
        </w:rPr>
        <w:t>for DL</w:t>
      </w:r>
      <w:r w:rsidR="003F5588">
        <w:rPr>
          <w:sz w:val="22"/>
          <w:szCs w:val="22"/>
        </w:rPr>
        <w:t xml:space="preserve"> transmission since this value is known at the gNB side and post-compensation for UL transmission can be applied at the gNB. </w:t>
      </w:r>
      <w:r w:rsidR="00E622DC">
        <w:rPr>
          <w:sz w:val="22"/>
          <w:szCs w:val="22"/>
        </w:rPr>
        <w:t xml:space="preserve">However, the indication </w:t>
      </w:r>
      <w:r w:rsidR="00CF2650">
        <w:rPr>
          <w:sz w:val="22"/>
          <w:szCs w:val="22"/>
        </w:rPr>
        <w:t xml:space="preserve">of cell-specific frequency offset is </w:t>
      </w:r>
      <w:r w:rsidR="00E234F0">
        <w:rPr>
          <w:sz w:val="22"/>
          <w:szCs w:val="22"/>
        </w:rPr>
        <w:t>needed</w:t>
      </w:r>
      <w:r w:rsidR="00CF2650">
        <w:rPr>
          <w:sz w:val="22"/>
          <w:szCs w:val="22"/>
        </w:rPr>
        <w:t xml:space="preserve"> for handover and inter-cell measurements. </w:t>
      </w:r>
      <w:r w:rsidR="00A02106">
        <w:rPr>
          <w:sz w:val="22"/>
          <w:szCs w:val="22"/>
        </w:rPr>
        <w:t>Thus</w:t>
      </w:r>
      <w:r w:rsidR="00CF2650">
        <w:rPr>
          <w:sz w:val="22"/>
          <w:szCs w:val="22"/>
        </w:rPr>
        <w:t xml:space="preserve">, we propose to support </w:t>
      </w:r>
      <w:r w:rsidR="00CF2650" w:rsidRPr="00CF2650">
        <w:rPr>
          <w:sz w:val="22"/>
          <w:szCs w:val="22"/>
        </w:rPr>
        <w:t>DL frequency compensation for the service link Doppler</w:t>
      </w:r>
      <w:r w:rsidR="00CF2650">
        <w:rPr>
          <w:sz w:val="22"/>
          <w:szCs w:val="22"/>
        </w:rPr>
        <w:t xml:space="preserve"> with indication of the applied frequency pre-compensation value. </w:t>
      </w:r>
    </w:p>
    <w:p w14:paraId="1AE22684" w14:textId="144CF743" w:rsidR="00C21A19" w:rsidRDefault="009C401F" w:rsidP="00C21A19">
      <w:pPr>
        <w:tabs>
          <w:tab w:val="left" w:pos="2552"/>
          <w:tab w:val="left" w:pos="9781"/>
        </w:tabs>
        <w:spacing w:after="240" w:line="276" w:lineRule="auto"/>
        <w:rPr>
          <w:sz w:val="22"/>
          <w:szCs w:val="22"/>
        </w:rPr>
      </w:pPr>
      <w:r>
        <w:rPr>
          <w:b/>
          <w:bCs/>
          <w:i/>
          <w:iCs/>
          <w:sz w:val="22"/>
          <w:szCs w:val="22"/>
        </w:rPr>
        <w:t>Proposal</w:t>
      </w:r>
      <w:r w:rsidR="00C21A19" w:rsidRPr="009D6F40">
        <w:rPr>
          <w:b/>
          <w:bCs/>
          <w:i/>
          <w:iCs/>
          <w:sz w:val="22"/>
          <w:szCs w:val="22"/>
        </w:rPr>
        <w:t xml:space="preserve"> </w:t>
      </w:r>
      <w:r>
        <w:rPr>
          <w:b/>
          <w:bCs/>
          <w:i/>
          <w:iCs/>
          <w:sz w:val="22"/>
          <w:szCs w:val="22"/>
        </w:rPr>
        <w:t>2</w:t>
      </w:r>
      <w:r w:rsidR="00C21A19">
        <w:rPr>
          <w:sz w:val="22"/>
          <w:szCs w:val="22"/>
        </w:rPr>
        <w:t xml:space="preserve">: </w:t>
      </w:r>
    </w:p>
    <w:p w14:paraId="0D0C3C58" w14:textId="7B994105" w:rsidR="002A58FF" w:rsidRDefault="00A93FCC" w:rsidP="00FF1769">
      <w:pPr>
        <w:pStyle w:val="ListParagraph"/>
        <w:numPr>
          <w:ilvl w:val="0"/>
          <w:numId w:val="29"/>
        </w:numPr>
        <w:tabs>
          <w:tab w:val="left" w:pos="2552"/>
          <w:tab w:val="left" w:pos="9781"/>
        </w:tabs>
        <w:spacing w:after="240" w:line="276" w:lineRule="auto"/>
        <w:rPr>
          <w:rFonts w:ascii="Times New Roman" w:hAnsi="Times New Roman"/>
          <w:i/>
        </w:rPr>
      </w:pPr>
      <w:r>
        <w:rPr>
          <w:rFonts w:ascii="Times New Roman" w:hAnsi="Times New Roman"/>
          <w:i/>
        </w:rPr>
        <w:t>S</w:t>
      </w:r>
      <w:r w:rsidRPr="00A93FCC">
        <w:rPr>
          <w:rFonts w:ascii="Times New Roman" w:hAnsi="Times New Roman"/>
          <w:i/>
        </w:rPr>
        <w:t xml:space="preserve">upport DL frequency </w:t>
      </w:r>
      <w:r w:rsidR="00226293">
        <w:rPr>
          <w:rFonts w:ascii="Times New Roman" w:hAnsi="Times New Roman"/>
          <w:i/>
        </w:rPr>
        <w:t>pre-</w:t>
      </w:r>
      <w:r w:rsidRPr="00A93FCC">
        <w:rPr>
          <w:rFonts w:ascii="Times New Roman" w:hAnsi="Times New Roman"/>
          <w:i/>
        </w:rPr>
        <w:t>compensation for the service link Doppler</w:t>
      </w:r>
    </w:p>
    <w:p w14:paraId="7AF316B0" w14:textId="7681F79D" w:rsidR="00A93FCC" w:rsidRDefault="00A93FCC" w:rsidP="00A93FCC">
      <w:pPr>
        <w:pStyle w:val="ListParagraph"/>
        <w:numPr>
          <w:ilvl w:val="1"/>
          <w:numId w:val="29"/>
        </w:numPr>
        <w:tabs>
          <w:tab w:val="left" w:pos="2552"/>
          <w:tab w:val="left" w:pos="9781"/>
        </w:tabs>
        <w:spacing w:after="240" w:line="276" w:lineRule="auto"/>
        <w:rPr>
          <w:rFonts w:ascii="Times New Roman" w:hAnsi="Times New Roman"/>
          <w:i/>
        </w:rPr>
      </w:pPr>
      <w:r>
        <w:rPr>
          <w:rFonts w:ascii="Times New Roman" w:hAnsi="Times New Roman"/>
          <w:i/>
        </w:rPr>
        <w:t>I</w:t>
      </w:r>
      <w:r w:rsidRPr="00A93FCC">
        <w:rPr>
          <w:rFonts w:ascii="Times New Roman" w:hAnsi="Times New Roman"/>
          <w:i/>
        </w:rPr>
        <w:t>ndication of the applied frequency pre-compensation value</w:t>
      </w:r>
      <w:r>
        <w:rPr>
          <w:rFonts w:ascii="Times New Roman" w:hAnsi="Times New Roman"/>
          <w:i/>
        </w:rPr>
        <w:t xml:space="preserve"> is </w:t>
      </w:r>
      <w:r w:rsidR="00C37335">
        <w:rPr>
          <w:rFonts w:ascii="Times New Roman" w:hAnsi="Times New Roman"/>
          <w:i/>
        </w:rPr>
        <w:t>required</w:t>
      </w:r>
    </w:p>
    <w:p w14:paraId="73053D84" w14:textId="195EFA46" w:rsidR="00EB6442" w:rsidRDefault="008E2755" w:rsidP="00EB6442">
      <w:pPr>
        <w:tabs>
          <w:tab w:val="left" w:pos="2552"/>
          <w:tab w:val="left" w:pos="9781"/>
        </w:tabs>
        <w:spacing w:after="240" w:line="276" w:lineRule="auto"/>
        <w:rPr>
          <w:iCs/>
          <w:sz w:val="22"/>
          <w:szCs w:val="22"/>
        </w:rPr>
      </w:pPr>
      <w:r>
        <w:rPr>
          <w:iCs/>
          <w:sz w:val="22"/>
          <w:szCs w:val="22"/>
        </w:rPr>
        <w:t>For the frequency shift introduced in feeder link channel for transparent payload case, pre/post-compensation can be applied at the g</w:t>
      </w:r>
      <w:r w:rsidR="0061658A">
        <w:rPr>
          <w:iCs/>
          <w:sz w:val="22"/>
          <w:szCs w:val="22"/>
        </w:rPr>
        <w:t>ateway</w:t>
      </w:r>
      <w:r>
        <w:rPr>
          <w:iCs/>
          <w:sz w:val="22"/>
          <w:szCs w:val="22"/>
        </w:rPr>
        <w:t xml:space="preserve"> without any impact on the NR specification. Compensation of feeder link Doppler shift by the UE may be problematic due to use of different bands for feeder link and service link.</w:t>
      </w:r>
    </w:p>
    <w:p w14:paraId="150F00AE" w14:textId="1F017A53" w:rsidR="008E2755" w:rsidRDefault="008E2755" w:rsidP="00EB6442">
      <w:pPr>
        <w:tabs>
          <w:tab w:val="left" w:pos="2552"/>
          <w:tab w:val="left" w:pos="9781"/>
        </w:tabs>
        <w:spacing w:after="240" w:line="276" w:lineRule="auto"/>
        <w:rPr>
          <w:iCs/>
          <w:sz w:val="22"/>
          <w:szCs w:val="22"/>
        </w:rPr>
      </w:pPr>
      <w:r w:rsidRPr="00A770E0">
        <w:rPr>
          <w:b/>
          <w:bCs/>
          <w:i/>
          <w:sz w:val="22"/>
          <w:szCs w:val="22"/>
        </w:rPr>
        <w:t>Proposal 3</w:t>
      </w:r>
      <w:r>
        <w:rPr>
          <w:iCs/>
          <w:sz w:val="22"/>
          <w:szCs w:val="22"/>
        </w:rPr>
        <w:t xml:space="preserve">: </w:t>
      </w:r>
    </w:p>
    <w:p w14:paraId="1DFA1B99" w14:textId="13F341F7" w:rsidR="008E2755" w:rsidRDefault="008E2755" w:rsidP="008E2755">
      <w:pPr>
        <w:pStyle w:val="ListParagraph"/>
        <w:numPr>
          <w:ilvl w:val="0"/>
          <w:numId w:val="29"/>
        </w:numPr>
        <w:tabs>
          <w:tab w:val="left" w:pos="2552"/>
          <w:tab w:val="left" w:pos="9781"/>
        </w:tabs>
        <w:spacing w:after="240" w:line="276" w:lineRule="auto"/>
        <w:rPr>
          <w:rFonts w:ascii="Times New Roman" w:hAnsi="Times New Roman"/>
          <w:i/>
        </w:rPr>
      </w:pPr>
      <w:r w:rsidRPr="008E2755">
        <w:rPr>
          <w:rFonts w:ascii="Times New Roman" w:hAnsi="Times New Roman"/>
          <w:i/>
        </w:rPr>
        <w:t xml:space="preserve">It is assumed by RAN1 that compensation of feeder link Doppler shift is done at the </w:t>
      </w:r>
      <w:r w:rsidR="0061658A">
        <w:rPr>
          <w:rFonts w:ascii="Times New Roman" w:hAnsi="Times New Roman"/>
          <w:i/>
        </w:rPr>
        <w:t>gateway</w:t>
      </w:r>
      <w:r w:rsidRPr="008E2755">
        <w:rPr>
          <w:rFonts w:ascii="Times New Roman" w:hAnsi="Times New Roman"/>
          <w:i/>
        </w:rPr>
        <w:t xml:space="preserve"> side for UL</w:t>
      </w:r>
      <w:r>
        <w:rPr>
          <w:rFonts w:ascii="Times New Roman" w:hAnsi="Times New Roman"/>
          <w:i/>
        </w:rPr>
        <w:t>/</w:t>
      </w:r>
      <w:r w:rsidRPr="008E2755">
        <w:rPr>
          <w:rFonts w:ascii="Times New Roman" w:hAnsi="Times New Roman"/>
          <w:i/>
        </w:rPr>
        <w:t>DL</w:t>
      </w:r>
    </w:p>
    <w:p w14:paraId="37226D2F" w14:textId="3BE60F0D" w:rsidR="00E435E2" w:rsidRPr="00E435E2" w:rsidRDefault="00E435E2" w:rsidP="00E435E2">
      <w:pPr>
        <w:tabs>
          <w:tab w:val="left" w:pos="2552"/>
          <w:tab w:val="left" w:pos="9781"/>
        </w:tabs>
        <w:spacing w:after="240" w:line="276" w:lineRule="auto"/>
        <w:rPr>
          <w:iCs/>
          <w:sz w:val="22"/>
          <w:szCs w:val="22"/>
        </w:rPr>
      </w:pPr>
      <w:r w:rsidRPr="00E435E2">
        <w:rPr>
          <w:iCs/>
          <w:sz w:val="22"/>
          <w:szCs w:val="22"/>
        </w:rPr>
        <w:t>In [</w:t>
      </w:r>
      <w:r w:rsidR="00754C7E">
        <w:rPr>
          <w:iCs/>
          <w:sz w:val="22"/>
          <w:szCs w:val="22"/>
        </w:rPr>
        <w:t>6</w:t>
      </w:r>
      <w:r w:rsidRPr="00E435E2">
        <w:rPr>
          <w:iCs/>
          <w:sz w:val="22"/>
          <w:szCs w:val="22"/>
        </w:rPr>
        <w:t>] RAN2 provides LS to RAN1 with the following actions</w:t>
      </w:r>
      <w:r>
        <w:rPr>
          <w:iCs/>
          <w:sz w:val="22"/>
          <w:szCs w:val="22"/>
        </w:rPr>
        <w:t xml:space="preserve"> </w:t>
      </w:r>
      <w:r w:rsidR="00022A9B">
        <w:rPr>
          <w:iCs/>
          <w:sz w:val="22"/>
          <w:szCs w:val="22"/>
        </w:rPr>
        <w:t>highlighted by italic font</w:t>
      </w:r>
      <w:r>
        <w:rPr>
          <w:iCs/>
          <w:sz w:val="22"/>
          <w:szCs w:val="22"/>
        </w:rPr>
        <w:t xml:space="preserve"> with comments from RAN1 perspective below each action</w:t>
      </w:r>
      <w:r w:rsidRPr="00E435E2">
        <w:rPr>
          <w:iCs/>
          <w:sz w:val="22"/>
          <w:szCs w:val="22"/>
        </w:rPr>
        <w:t>.</w:t>
      </w:r>
    </w:p>
    <w:p w14:paraId="3A76C837" w14:textId="77777777" w:rsidR="00E65959" w:rsidRDefault="00E435E2" w:rsidP="00E435E2">
      <w:pPr>
        <w:tabs>
          <w:tab w:val="left" w:pos="2552"/>
          <w:tab w:val="left" w:pos="9781"/>
        </w:tabs>
        <w:spacing w:after="240" w:line="276" w:lineRule="auto"/>
        <w:rPr>
          <w:i/>
          <w:sz w:val="22"/>
          <w:szCs w:val="22"/>
        </w:rPr>
      </w:pPr>
      <w:r w:rsidRPr="00022A9B">
        <w:rPr>
          <w:i/>
          <w:sz w:val="22"/>
          <w:szCs w:val="22"/>
        </w:rPr>
        <w:t xml:space="preserve">1) RAN2 respectfully requests RAN1 to prioritize the TA pre-compensation work on: (i) whether and/or what parameters to broadcast for TA pre-compensation, and (ii) when broadcasted, how often the broadcasted parameters are expected to change over time. </w:t>
      </w:r>
    </w:p>
    <w:p w14:paraId="3EC369C2" w14:textId="7B126621" w:rsidR="00E435E2" w:rsidRPr="00E65959" w:rsidRDefault="00E65959" w:rsidP="00590A34">
      <w:pPr>
        <w:pStyle w:val="ListParagraph"/>
        <w:numPr>
          <w:ilvl w:val="0"/>
          <w:numId w:val="29"/>
        </w:numPr>
        <w:tabs>
          <w:tab w:val="left" w:pos="2552"/>
          <w:tab w:val="left" w:pos="9781"/>
        </w:tabs>
        <w:spacing w:after="240" w:line="276" w:lineRule="auto"/>
        <w:jc w:val="both"/>
        <w:rPr>
          <w:rFonts w:ascii="Times New Roman" w:hAnsi="Times New Roman"/>
          <w:iCs/>
        </w:rPr>
      </w:pPr>
      <w:r w:rsidRPr="00E65959">
        <w:rPr>
          <w:rFonts w:ascii="Times New Roman" w:hAnsi="Times New Roman"/>
          <w:iCs/>
        </w:rPr>
        <w:lastRenderedPageBreak/>
        <w:t>More discussion in RAN1 is needed since the details of the common TA indication and common TA drift indication (if supported) are not defined yet. This topic is related to proposal</w:t>
      </w:r>
      <w:r>
        <w:rPr>
          <w:rFonts w:ascii="Times New Roman" w:hAnsi="Times New Roman"/>
          <w:iCs/>
        </w:rPr>
        <w:t xml:space="preserve"> 1 in this tdoc.</w:t>
      </w:r>
    </w:p>
    <w:p w14:paraId="69BD0E77" w14:textId="0F0B1118" w:rsidR="00E435E2" w:rsidRPr="00022A9B" w:rsidRDefault="00E435E2" w:rsidP="00E435E2">
      <w:pPr>
        <w:tabs>
          <w:tab w:val="left" w:pos="2552"/>
          <w:tab w:val="left" w:pos="9781"/>
        </w:tabs>
        <w:spacing w:after="240" w:line="276" w:lineRule="auto"/>
        <w:rPr>
          <w:i/>
          <w:sz w:val="22"/>
          <w:szCs w:val="22"/>
        </w:rPr>
      </w:pPr>
      <w:r w:rsidRPr="00022A9B">
        <w:rPr>
          <w:i/>
          <w:sz w:val="22"/>
          <w:szCs w:val="22"/>
        </w:rPr>
        <w:t>2) RAN2 respectfully requests RAN1 to provide input on: (i) how UE determines UE-gNB RTT, and (ii) what additional information needs to be broadcasted other than that for TA pre-compensation, if any.</w:t>
      </w:r>
    </w:p>
    <w:p w14:paraId="369B8CD4" w14:textId="0BF716CF" w:rsidR="00022A9B" w:rsidRPr="00022A9B" w:rsidRDefault="00022A9B" w:rsidP="00590A34">
      <w:pPr>
        <w:pStyle w:val="ListParagraph"/>
        <w:numPr>
          <w:ilvl w:val="0"/>
          <w:numId w:val="29"/>
        </w:numPr>
        <w:tabs>
          <w:tab w:val="left" w:pos="2552"/>
          <w:tab w:val="left" w:pos="9781"/>
        </w:tabs>
        <w:spacing w:after="240" w:line="276" w:lineRule="auto"/>
        <w:jc w:val="both"/>
        <w:rPr>
          <w:rFonts w:ascii="Times New Roman" w:hAnsi="Times New Roman"/>
          <w:iCs/>
        </w:rPr>
      </w:pPr>
      <w:r w:rsidRPr="00022A9B">
        <w:rPr>
          <w:rFonts w:ascii="Times New Roman" w:hAnsi="Times New Roman"/>
          <w:iCs/>
        </w:rPr>
        <w:t xml:space="preserve">RAN1 should inform RAN2 that UE-gNB RTT is sum of the feeder link RTT and service link RTT, where feeder link RTT </w:t>
      </w:r>
      <w:r w:rsidR="006C3264">
        <w:rPr>
          <w:rFonts w:ascii="Times New Roman" w:hAnsi="Times New Roman"/>
          <w:iCs/>
        </w:rPr>
        <w:t>can be</w:t>
      </w:r>
      <w:r w:rsidRPr="00022A9B">
        <w:rPr>
          <w:rFonts w:ascii="Times New Roman" w:hAnsi="Times New Roman"/>
          <w:iCs/>
        </w:rPr>
        <w:t xml:space="preserve"> indicated by the gNB as common TA and service link RTT is determined by the UE based on GNSS information and satellite ephemeris broadcasted by the gNB</w:t>
      </w:r>
      <w:r w:rsidR="00590A34">
        <w:rPr>
          <w:rFonts w:ascii="Times New Roman" w:hAnsi="Times New Roman"/>
          <w:iCs/>
        </w:rPr>
        <w:t>.</w:t>
      </w:r>
    </w:p>
    <w:p w14:paraId="130B3AA1" w14:textId="0BE5000C" w:rsidR="00E435E2" w:rsidRDefault="00E435E2" w:rsidP="00E435E2">
      <w:pPr>
        <w:tabs>
          <w:tab w:val="left" w:pos="2552"/>
          <w:tab w:val="left" w:pos="9781"/>
        </w:tabs>
        <w:spacing w:after="240" w:line="276" w:lineRule="auto"/>
        <w:rPr>
          <w:i/>
          <w:sz w:val="22"/>
          <w:szCs w:val="22"/>
        </w:rPr>
      </w:pPr>
      <w:r w:rsidRPr="00022A9B">
        <w:rPr>
          <w:i/>
          <w:sz w:val="22"/>
          <w:szCs w:val="22"/>
        </w:rPr>
        <w:t>3) RAN2 respectfully requests RAN1 to provide input on the exact content and frequency of UE reporting of information about the UE specific TA pre-compensation at least for uplink scheduling adaptation.</w:t>
      </w:r>
    </w:p>
    <w:p w14:paraId="6B3F7558" w14:textId="0939B33E" w:rsidR="00E65959" w:rsidRPr="00E65959" w:rsidRDefault="00E65959" w:rsidP="00590A34">
      <w:pPr>
        <w:pStyle w:val="ListParagraph"/>
        <w:numPr>
          <w:ilvl w:val="0"/>
          <w:numId w:val="29"/>
        </w:numPr>
        <w:tabs>
          <w:tab w:val="left" w:pos="2552"/>
          <w:tab w:val="left" w:pos="9781"/>
        </w:tabs>
        <w:spacing w:after="240" w:line="276" w:lineRule="auto"/>
        <w:jc w:val="both"/>
        <w:rPr>
          <w:rFonts w:ascii="Times New Roman" w:hAnsi="Times New Roman"/>
          <w:iCs/>
        </w:rPr>
      </w:pPr>
      <w:r w:rsidRPr="00E65959">
        <w:rPr>
          <w:rFonts w:ascii="Times New Roman" w:hAnsi="Times New Roman"/>
          <w:iCs/>
        </w:rPr>
        <w:t>More discussion in RAN1 is needed</w:t>
      </w:r>
      <w:r>
        <w:rPr>
          <w:rFonts w:ascii="Times New Roman" w:hAnsi="Times New Roman"/>
          <w:iCs/>
        </w:rPr>
        <w:t xml:space="preserve"> on this issue.</w:t>
      </w:r>
      <w:r w:rsidR="00590A34">
        <w:rPr>
          <w:rFonts w:ascii="Times New Roman" w:hAnsi="Times New Roman"/>
          <w:iCs/>
        </w:rPr>
        <w:t xml:space="preserve"> In our view UE-specific TA reporting should be supported. However, in our view high accuracy is not required, e.g. accuracy of one slot should be enough. </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2067BDA1"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78F25850" w14:textId="77777777" w:rsidR="00F276EF" w:rsidRDefault="00F276EF" w:rsidP="00F276EF">
      <w:pPr>
        <w:tabs>
          <w:tab w:val="left" w:pos="2552"/>
          <w:tab w:val="left" w:pos="9781"/>
        </w:tabs>
        <w:spacing w:after="240" w:line="276" w:lineRule="auto"/>
        <w:jc w:val="both"/>
        <w:rPr>
          <w:sz w:val="22"/>
          <w:szCs w:val="22"/>
        </w:rPr>
      </w:pPr>
      <w:r w:rsidRPr="003618C8">
        <w:rPr>
          <w:b/>
          <w:bCs/>
          <w:i/>
          <w:iCs/>
          <w:sz w:val="22"/>
          <w:szCs w:val="22"/>
        </w:rPr>
        <w:t>Proposal 1</w:t>
      </w:r>
      <w:r>
        <w:rPr>
          <w:sz w:val="22"/>
          <w:szCs w:val="22"/>
        </w:rPr>
        <w:t xml:space="preserve">: </w:t>
      </w:r>
    </w:p>
    <w:p w14:paraId="0432EB74" w14:textId="77777777" w:rsidR="00F276EF" w:rsidRDefault="00F276EF" w:rsidP="00F276EF">
      <w:pPr>
        <w:pStyle w:val="ListParagraph"/>
        <w:numPr>
          <w:ilvl w:val="0"/>
          <w:numId w:val="32"/>
        </w:numPr>
        <w:tabs>
          <w:tab w:val="left" w:pos="2552"/>
          <w:tab w:val="left" w:pos="9781"/>
        </w:tabs>
        <w:spacing w:after="240" w:line="276" w:lineRule="auto"/>
        <w:jc w:val="both"/>
        <w:rPr>
          <w:rFonts w:ascii="Times New Roman" w:hAnsi="Times New Roman"/>
          <w:i/>
          <w:iCs/>
        </w:rPr>
      </w:pPr>
      <w:r w:rsidRPr="00CC0438">
        <w:rPr>
          <w:rFonts w:ascii="Times New Roman" w:hAnsi="Times New Roman"/>
          <w:i/>
          <w:iCs/>
        </w:rPr>
        <w:t>Support</w:t>
      </w:r>
      <w:r>
        <w:rPr>
          <w:rFonts w:ascii="Times New Roman" w:hAnsi="Times New Roman"/>
          <w:i/>
          <w:iCs/>
        </w:rPr>
        <w:t xml:space="preserve"> at least</w:t>
      </w:r>
      <w:r w:rsidRPr="00CC0438">
        <w:rPr>
          <w:rFonts w:ascii="Times New Roman" w:hAnsi="Times New Roman"/>
          <w:i/>
          <w:iCs/>
        </w:rPr>
        <w:t xml:space="preserve"> common TA drift rate indication</w:t>
      </w:r>
    </w:p>
    <w:p w14:paraId="307F7451" w14:textId="249E2397" w:rsidR="00F276EF" w:rsidRDefault="00F276EF" w:rsidP="00F276EF">
      <w:pPr>
        <w:pStyle w:val="ListParagraph"/>
        <w:numPr>
          <w:ilvl w:val="1"/>
          <w:numId w:val="32"/>
        </w:numPr>
        <w:tabs>
          <w:tab w:val="left" w:pos="2552"/>
          <w:tab w:val="left" w:pos="9781"/>
        </w:tabs>
        <w:spacing w:after="240" w:line="276" w:lineRule="auto"/>
        <w:jc w:val="both"/>
        <w:rPr>
          <w:rFonts w:ascii="Times New Roman" w:hAnsi="Times New Roman"/>
          <w:i/>
          <w:iCs/>
        </w:rPr>
      </w:pPr>
      <w:r>
        <w:rPr>
          <w:rFonts w:ascii="Times New Roman" w:hAnsi="Times New Roman"/>
          <w:i/>
          <w:iCs/>
        </w:rPr>
        <w:t>Alternatively, b</w:t>
      </w:r>
      <w:r w:rsidRPr="00CC0438">
        <w:rPr>
          <w:rFonts w:ascii="Times New Roman" w:hAnsi="Times New Roman"/>
          <w:i/>
          <w:iCs/>
        </w:rPr>
        <w:t>roadcast of reference point for pre-compensation of feeder link delay can be considered to avoid frequent reconfiguration</w:t>
      </w:r>
    </w:p>
    <w:p w14:paraId="3C0E5CAE" w14:textId="77777777" w:rsidR="00F276EF" w:rsidRDefault="00F276EF" w:rsidP="00F276EF">
      <w:pPr>
        <w:tabs>
          <w:tab w:val="left" w:pos="2552"/>
          <w:tab w:val="left" w:pos="9781"/>
        </w:tabs>
        <w:spacing w:after="240" w:line="276" w:lineRule="auto"/>
        <w:jc w:val="both"/>
        <w:rPr>
          <w:sz w:val="22"/>
          <w:szCs w:val="22"/>
        </w:rPr>
      </w:pPr>
      <w:r w:rsidRPr="009A100D">
        <w:rPr>
          <w:b/>
          <w:bCs/>
          <w:i/>
          <w:iCs/>
          <w:sz w:val="22"/>
          <w:szCs w:val="22"/>
        </w:rPr>
        <w:t>Observation 1</w:t>
      </w:r>
      <w:r>
        <w:rPr>
          <w:sz w:val="22"/>
          <w:szCs w:val="22"/>
        </w:rPr>
        <w:t xml:space="preserve">: </w:t>
      </w:r>
    </w:p>
    <w:p w14:paraId="0E065B87" w14:textId="77777777" w:rsidR="00F276EF" w:rsidRPr="009A100D" w:rsidRDefault="00F276EF" w:rsidP="00F276EF">
      <w:pPr>
        <w:pStyle w:val="ListParagraph"/>
        <w:numPr>
          <w:ilvl w:val="0"/>
          <w:numId w:val="32"/>
        </w:numPr>
        <w:tabs>
          <w:tab w:val="left" w:pos="2552"/>
          <w:tab w:val="left" w:pos="9781"/>
        </w:tabs>
        <w:spacing w:after="240" w:line="276" w:lineRule="auto"/>
        <w:jc w:val="both"/>
        <w:rPr>
          <w:rFonts w:ascii="Times New Roman" w:hAnsi="Times New Roman"/>
          <w:i/>
          <w:iCs/>
        </w:rPr>
      </w:pPr>
      <w:r w:rsidRPr="009A100D">
        <w:rPr>
          <w:rFonts w:ascii="Times New Roman" w:hAnsi="Times New Roman"/>
          <w:i/>
          <w:iCs/>
        </w:rPr>
        <w:t>Separate configuration for TA margin is not needed since it can be considered within common TA</w:t>
      </w:r>
    </w:p>
    <w:p w14:paraId="7155B778" w14:textId="77777777" w:rsidR="00F276EF" w:rsidRDefault="00F276EF" w:rsidP="00F276EF">
      <w:pPr>
        <w:tabs>
          <w:tab w:val="left" w:pos="2552"/>
          <w:tab w:val="left" w:pos="9781"/>
        </w:tabs>
        <w:spacing w:after="240" w:line="276" w:lineRule="auto"/>
        <w:rPr>
          <w:sz w:val="22"/>
          <w:szCs w:val="22"/>
        </w:rPr>
      </w:pPr>
      <w:r>
        <w:rPr>
          <w:b/>
          <w:bCs/>
          <w:i/>
          <w:iCs/>
          <w:sz w:val="22"/>
          <w:szCs w:val="22"/>
        </w:rPr>
        <w:t>Proposal</w:t>
      </w:r>
      <w:r w:rsidRPr="009D6F40">
        <w:rPr>
          <w:b/>
          <w:bCs/>
          <w:i/>
          <w:iCs/>
          <w:sz w:val="22"/>
          <w:szCs w:val="22"/>
        </w:rPr>
        <w:t xml:space="preserve"> </w:t>
      </w:r>
      <w:r>
        <w:rPr>
          <w:b/>
          <w:bCs/>
          <w:i/>
          <w:iCs/>
          <w:sz w:val="22"/>
          <w:szCs w:val="22"/>
        </w:rPr>
        <w:t>2</w:t>
      </w:r>
      <w:r>
        <w:rPr>
          <w:sz w:val="22"/>
          <w:szCs w:val="22"/>
        </w:rPr>
        <w:t xml:space="preserve">: </w:t>
      </w:r>
    </w:p>
    <w:p w14:paraId="006C778D" w14:textId="77777777" w:rsidR="00F276EF" w:rsidRDefault="00F276EF" w:rsidP="00F276EF">
      <w:pPr>
        <w:pStyle w:val="ListParagraph"/>
        <w:numPr>
          <w:ilvl w:val="0"/>
          <w:numId w:val="29"/>
        </w:numPr>
        <w:tabs>
          <w:tab w:val="left" w:pos="2552"/>
          <w:tab w:val="left" w:pos="9781"/>
        </w:tabs>
        <w:spacing w:after="240" w:line="276" w:lineRule="auto"/>
        <w:rPr>
          <w:rFonts w:ascii="Times New Roman" w:hAnsi="Times New Roman"/>
          <w:i/>
        </w:rPr>
      </w:pPr>
      <w:r>
        <w:rPr>
          <w:rFonts w:ascii="Times New Roman" w:hAnsi="Times New Roman"/>
          <w:i/>
        </w:rPr>
        <w:t>S</w:t>
      </w:r>
      <w:r w:rsidRPr="00A93FCC">
        <w:rPr>
          <w:rFonts w:ascii="Times New Roman" w:hAnsi="Times New Roman"/>
          <w:i/>
        </w:rPr>
        <w:t xml:space="preserve">upport DL frequency </w:t>
      </w:r>
      <w:r>
        <w:rPr>
          <w:rFonts w:ascii="Times New Roman" w:hAnsi="Times New Roman"/>
          <w:i/>
        </w:rPr>
        <w:t>pre-</w:t>
      </w:r>
      <w:r w:rsidRPr="00A93FCC">
        <w:rPr>
          <w:rFonts w:ascii="Times New Roman" w:hAnsi="Times New Roman"/>
          <w:i/>
        </w:rPr>
        <w:t>compensation for the service link Doppler</w:t>
      </w:r>
    </w:p>
    <w:p w14:paraId="5C330090" w14:textId="77777777" w:rsidR="00F276EF" w:rsidRDefault="00F276EF" w:rsidP="00F276EF">
      <w:pPr>
        <w:pStyle w:val="ListParagraph"/>
        <w:numPr>
          <w:ilvl w:val="1"/>
          <w:numId w:val="29"/>
        </w:numPr>
        <w:tabs>
          <w:tab w:val="left" w:pos="2552"/>
          <w:tab w:val="left" w:pos="9781"/>
        </w:tabs>
        <w:spacing w:after="240" w:line="276" w:lineRule="auto"/>
        <w:rPr>
          <w:rFonts w:ascii="Times New Roman" w:hAnsi="Times New Roman"/>
          <w:i/>
        </w:rPr>
      </w:pPr>
      <w:r>
        <w:rPr>
          <w:rFonts w:ascii="Times New Roman" w:hAnsi="Times New Roman"/>
          <w:i/>
        </w:rPr>
        <w:t>I</w:t>
      </w:r>
      <w:r w:rsidRPr="00A93FCC">
        <w:rPr>
          <w:rFonts w:ascii="Times New Roman" w:hAnsi="Times New Roman"/>
          <w:i/>
        </w:rPr>
        <w:t>ndication of the applied frequency pre-compensation value</w:t>
      </w:r>
      <w:r>
        <w:rPr>
          <w:rFonts w:ascii="Times New Roman" w:hAnsi="Times New Roman"/>
          <w:i/>
        </w:rPr>
        <w:t xml:space="preserve"> is required</w:t>
      </w:r>
    </w:p>
    <w:p w14:paraId="1E8084F8" w14:textId="77777777" w:rsidR="00F276EF" w:rsidRDefault="00F276EF" w:rsidP="00F276EF">
      <w:pPr>
        <w:tabs>
          <w:tab w:val="left" w:pos="2552"/>
          <w:tab w:val="left" w:pos="9781"/>
        </w:tabs>
        <w:spacing w:after="240" w:line="276" w:lineRule="auto"/>
        <w:rPr>
          <w:iCs/>
          <w:sz w:val="22"/>
          <w:szCs w:val="22"/>
        </w:rPr>
      </w:pPr>
      <w:r w:rsidRPr="00A770E0">
        <w:rPr>
          <w:b/>
          <w:bCs/>
          <w:i/>
          <w:sz w:val="22"/>
          <w:szCs w:val="22"/>
        </w:rPr>
        <w:t>Proposal 3</w:t>
      </w:r>
      <w:r>
        <w:rPr>
          <w:iCs/>
          <w:sz w:val="22"/>
          <w:szCs w:val="22"/>
        </w:rPr>
        <w:t xml:space="preserve">: </w:t>
      </w:r>
    </w:p>
    <w:p w14:paraId="61C81B5D" w14:textId="4379E55A" w:rsidR="00F276EF" w:rsidRPr="003911D8" w:rsidRDefault="00F276EF" w:rsidP="00F276EF">
      <w:pPr>
        <w:pStyle w:val="ListParagraph"/>
        <w:numPr>
          <w:ilvl w:val="0"/>
          <w:numId w:val="29"/>
        </w:numPr>
        <w:tabs>
          <w:tab w:val="left" w:pos="2552"/>
          <w:tab w:val="left" w:pos="9781"/>
        </w:tabs>
        <w:spacing w:after="240" w:line="276" w:lineRule="auto"/>
        <w:jc w:val="both"/>
        <w:rPr>
          <w:rFonts w:ascii="Times New Roman" w:hAnsi="Times New Roman"/>
          <w:i/>
          <w:iCs/>
        </w:rPr>
      </w:pPr>
      <w:r w:rsidRPr="003911D8">
        <w:rPr>
          <w:rFonts w:ascii="Times New Roman" w:hAnsi="Times New Roman"/>
          <w:i/>
        </w:rPr>
        <w:t>It is assumed by RAN1 that compensation of feeder link Doppler shift is done at the gateway side for</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07C89DFF" w:rsidR="00AD3274" w:rsidRDefault="00CF7DE4" w:rsidP="00B564AB">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43DA26FC" w14:textId="77777777" w:rsidR="00564BAF" w:rsidRPr="0091038A" w:rsidRDefault="00564BAF" w:rsidP="00564BAF">
      <w:pPr>
        <w:numPr>
          <w:ilvl w:val="0"/>
          <w:numId w:val="2"/>
        </w:numPr>
        <w:rPr>
          <w:sz w:val="22"/>
          <w:lang w:eastAsia="zh-CN"/>
        </w:rPr>
      </w:pPr>
      <w:r w:rsidRPr="0091038A">
        <w:rPr>
          <w:sz w:val="22"/>
          <w:lang w:eastAsia="zh-CN"/>
        </w:rPr>
        <w:lastRenderedPageBreak/>
        <w:t>RAN1 Chairman’s Notes, 3GPP TSG RAN WG1 Meeting #103-e, e-Meeting</w:t>
      </w:r>
    </w:p>
    <w:p w14:paraId="3661F7C2" w14:textId="512672CD" w:rsidR="00287E37" w:rsidRDefault="00564BAF" w:rsidP="00564BAF">
      <w:pPr>
        <w:numPr>
          <w:ilvl w:val="0"/>
          <w:numId w:val="2"/>
        </w:numPr>
        <w:rPr>
          <w:sz w:val="22"/>
          <w:lang w:eastAsia="zh-CN"/>
        </w:rPr>
      </w:pPr>
      <w:r w:rsidRPr="0091038A">
        <w:rPr>
          <w:sz w:val="22"/>
          <w:lang w:eastAsia="zh-CN"/>
        </w:rPr>
        <w:t>RAN1 Chairman’s Notes, 3GPP TSG RAN WG1 Meeting #10</w:t>
      </w:r>
      <w:r>
        <w:rPr>
          <w:sz w:val="22"/>
          <w:lang w:eastAsia="zh-CN"/>
        </w:rPr>
        <w:t>4</w:t>
      </w:r>
      <w:r w:rsidRPr="0091038A">
        <w:rPr>
          <w:sz w:val="22"/>
          <w:lang w:eastAsia="zh-CN"/>
        </w:rPr>
        <w:t>-e, e-Meeting</w:t>
      </w:r>
    </w:p>
    <w:p w14:paraId="4B0F120A" w14:textId="251EC8FA" w:rsidR="00CA601F" w:rsidRDefault="00CA601F" w:rsidP="00564BAF">
      <w:pPr>
        <w:numPr>
          <w:ilvl w:val="0"/>
          <w:numId w:val="2"/>
        </w:numPr>
        <w:rPr>
          <w:sz w:val="22"/>
          <w:lang w:eastAsia="zh-CN"/>
        </w:rPr>
      </w:pPr>
      <w:r w:rsidRPr="00CA601F">
        <w:rPr>
          <w:sz w:val="22"/>
          <w:lang w:eastAsia="zh-CN"/>
        </w:rPr>
        <w:t>R1-2008990</w:t>
      </w:r>
      <w:r>
        <w:rPr>
          <w:sz w:val="22"/>
          <w:lang w:eastAsia="zh-CN"/>
        </w:rPr>
        <w:t xml:space="preserve"> </w:t>
      </w:r>
      <w:r w:rsidRPr="00CA601F">
        <w:rPr>
          <w:sz w:val="22"/>
          <w:lang w:eastAsia="zh-CN"/>
        </w:rPr>
        <w:t>On UL time and frequency synchronization for NTN</w:t>
      </w:r>
      <w:r>
        <w:rPr>
          <w:sz w:val="22"/>
          <w:lang w:eastAsia="zh-CN"/>
        </w:rPr>
        <w:t xml:space="preserve">; </w:t>
      </w:r>
      <w:r w:rsidRPr="00CA601F">
        <w:rPr>
          <w:sz w:val="22"/>
          <w:lang w:eastAsia="zh-CN"/>
        </w:rPr>
        <w:t>Intel Corporation</w:t>
      </w:r>
    </w:p>
    <w:p w14:paraId="2910D538" w14:textId="103B42CA" w:rsidR="007725BB" w:rsidRPr="007725BB" w:rsidRDefault="007725BB" w:rsidP="007725BB">
      <w:pPr>
        <w:numPr>
          <w:ilvl w:val="0"/>
          <w:numId w:val="2"/>
        </w:numPr>
        <w:rPr>
          <w:sz w:val="22"/>
          <w:lang w:eastAsia="zh-CN"/>
        </w:rPr>
      </w:pPr>
      <w:r w:rsidRPr="00151210">
        <w:rPr>
          <w:sz w:val="22"/>
          <w:lang w:eastAsia="zh-CN"/>
        </w:rPr>
        <w:t>R1-2104230</w:t>
      </w:r>
      <w:r>
        <w:rPr>
          <w:sz w:val="22"/>
          <w:lang w:eastAsia="zh-CN"/>
        </w:rPr>
        <w:t xml:space="preserve"> </w:t>
      </w:r>
      <w:r w:rsidRPr="00151210">
        <w:rPr>
          <w:sz w:val="22"/>
          <w:lang w:eastAsia="zh-CN"/>
        </w:rPr>
        <w:t>LS on TA pre-compensation</w:t>
      </w:r>
      <w:r>
        <w:rPr>
          <w:sz w:val="22"/>
          <w:lang w:eastAsia="zh-CN"/>
        </w:rPr>
        <w:t xml:space="preserve">, </w:t>
      </w:r>
      <w:r w:rsidRPr="00151210">
        <w:rPr>
          <w:sz w:val="22"/>
          <w:lang w:eastAsia="zh-CN"/>
        </w:rPr>
        <w:t>RAN2</w:t>
      </w:r>
    </w:p>
    <w:sectPr w:rsidR="007725BB" w:rsidRPr="007725BB"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F7B801" w14:textId="77777777" w:rsidR="00D964E6" w:rsidRDefault="00D964E6">
      <w:r>
        <w:separator/>
      </w:r>
    </w:p>
  </w:endnote>
  <w:endnote w:type="continuationSeparator" w:id="0">
    <w:p w14:paraId="77DE485B" w14:textId="77777777" w:rsidR="00D964E6" w:rsidRDefault="00D964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C569A0" w14:textId="77777777" w:rsidR="00D964E6" w:rsidRDefault="00D964E6">
      <w:r>
        <w:separator/>
      </w:r>
    </w:p>
  </w:footnote>
  <w:footnote w:type="continuationSeparator" w:id="0">
    <w:p w14:paraId="4EA09001" w14:textId="77777777" w:rsidR="00D964E6" w:rsidRDefault="00D964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06A7"/>
    <w:multiLevelType w:val="hybridMultilevel"/>
    <w:tmpl w:val="D5D86D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2"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7"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5C3DF4"/>
    <w:multiLevelType w:val="hybridMultilevel"/>
    <w:tmpl w:val="F908587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4"/>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28"/>
  </w:num>
  <w:num w:numId="7">
    <w:abstractNumId w:val="4"/>
  </w:num>
  <w:num w:numId="8">
    <w:abstractNumId w:val="29"/>
  </w:num>
  <w:num w:numId="9">
    <w:abstractNumId w:val="1"/>
  </w:num>
  <w:num w:numId="10">
    <w:abstractNumId w:val="2"/>
  </w:num>
  <w:num w:numId="11">
    <w:abstractNumId w:val="5"/>
  </w:num>
  <w:num w:numId="12">
    <w:abstractNumId w:val="8"/>
  </w:num>
  <w:num w:numId="13">
    <w:abstractNumId w:val="26"/>
  </w:num>
  <w:num w:numId="14">
    <w:abstractNumId w:val="33"/>
  </w:num>
  <w:num w:numId="15">
    <w:abstractNumId w:val="6"/>
  </w:num>
  <w:num w:numId="16">
    <w:abstractNumId w:val="15"/>
  </w:num>
  <w:num w:numId="17">
    <w:abstractNumId w:val="25"/>
  </w:num>
  <w:num w:numId="18">
    <w:abstractNumId w:val="19"/>
  </w:num>
  <w:num w:numId="19">
    <w:abstractNumId w:val="18"/>
  </w:num>
  <w:num w:numId="20">
    <w:abstractNumId w:val="27"/>
  </w:num>
  <w:num w:numId="21">
    <w:abstractNumId w:val="32"/>
  </w:num>
  <w:num w:numId="22">
    <w:abstractNumId w:val="9"/>
  </w:num>
  <w:num w:numId="23">
    <w:abstractNumId w:val="31"/>
  </w:num>
  <w:num w:numId="24">
    <w:abstractNumId w:val="21"/>
  </w:num>
  <w:num w:numId="25">
    <w:abstractNumId w:val="7"/>
  </w:num>
  <w:num w:numId="26">
    <w:abstractNumId w:val="13"/>
  </w:num>
  <w:num w:numId="27">
    <w:abstractNumId w:val="12"/>
  </w:num>
  <w:num w:numId="28">
    <w:abstractNumId w:val="16"/>
  </w:num>
  <w:num w:numId="29">
    <w:abstractNumId w:val="23"/>
  </w:num>
  <w:num w:numId="30">
    <w:abstractNumId w:val="17"/>
  </w:num>
  <w:num w:numId="31">
    <w:abstractNumId w:val="24"/>
  </w:num>
  <w:num w:numId="32">
    <w:abstractNumId w:val="3"/>
  </w:num>
  <w:num w:numId="33">
    <w:abstractNumId w:val="22"/>
  </w:num>
  <w:num w:numId="34">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131"/>
    <w:rsid w:val="00003155"/>
    <w:rsid w:val="0000322D"/>
    <w:rsid w:val="0000334B"/>
    <w:rsid w:val="00003772"/>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68B"/>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0A"/>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BA0"/>
    <w:rsid w:val="00021C67"/>
    <w:rsid w:val="00021DEC"/>
    <w:rsid w:val="000222F7"/>
    <w:rsid w:val="00022374"/>
    <w:rsid w:val="000226C1"/>
    <w:rsid w:val="000228C4"/>
    <w:rsid w:val="00022A9B"/>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50"/>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540"/>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77EB0"/>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D84"/>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F18"/>
    <w:rsid w:val="000E6F62"/>
    <w:rsid w:val="000E7026"/>
    <w:rsid w:val="000E70C5"/>
    <w:rsid w:val="000E7535"/>
    <w:rsid w:val="000E7B10"/>
    <w:rsid w:val="000E7F51"/>
    <w:rsid w:val="000F00D8"/>
    <w:rsid w:val="000F0131"/>
    <w:rsid w:val="000F036B"/>
    <w:rsid w:val="000F04CE"/>
    <w:rsid w:val="000F06D8"/>
    <w:rsid w:val="000F078C"/>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1D"/>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A0E"/>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683"/>
    <w:rsid w:val="00131AC6"/>
    <w:rsid w:val="00131B2C"/>
    <w:rsid w:val="001320F7"/>
    <w:rsid w:val="001321CE"/>
    <w:rsid w:val="001322B0"/>
    <w:rsid w:val="00132692"/>
    <w:rsid w:val="00132767"/>
    <w:rsid w:val="00132917"/>
    <w:rsid w:val="00132A30"/>
    <w:rsid w:val="00132D74"/>
    <w:rsid w:val="00132E7E"/>
    <w:rsid w:val="00133024"/>
    <w:rsid w:val="0013323D"/>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0B9"/>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CD"/>
    <w:rsid w:val="00165137"/>
    <w:rsid w:val="00165D3A"/>
    <w:rsid w:val="00165F88"/>
    <w:rsid w:val="0016634F"/>
    <w:rsid w:val="001669F9"/>
    <w:rsid w:val="00166BA4"/>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635"/>
    <w:rsid w:val="00192D98"/>
    <w:rsid w:val="00193987"/>
    <w:rsid w:val="00194465"/>
    <w:rsid w:val="00194A1E"/>
    <w:rsid w:val="00194A69"/>
    <w:rsid w:val="00194FBD"/>
    <w:rsid w:val="00194FCD"/>
    <w:rsid w:val="00195362"/>
    <w:rsid w:val="0019573B"/>
    <w:rsid w:val="0019592C"/>
    <w:rsid w:val="00195E9A"/>
    <w:rsid w:val="00196085"/>
    <w:rsid w:val="00196340"/>
    <w:rsid w:val="00196A48"/>
    <w:rsid w:val="00196B90"/>
    <w:rsid w:val="00196E1F"/>
    <w:rsid w:val="00196FF4"/>
    <w:rsid w:val="0019734F"/>
    <w:rsid w:val="001975B2"/>
    <w:rsid w:val="001975D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33E"/>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13A"/>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293"/>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5DE"/>
    <w:rsid w:val="00236645"/>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085"/>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87E37"/>
    <w:rsid w:val="00290254"/>
    <w:rsid w:val="00290B5C"/>
    <w:rsid w:val="00290F72"/>
    <w:rsid w:val="002910E8"/>
    <w:rsid w:val="0029169C"/>
    <w:rsid w:val="0029178F"/>
    <w:rsid w:val="00291959"/>
    <w:rsid w:val="00291B01"/>
    <w:rsid w:val="00291BF6"/>
    <w:rsid w:val="002922BA"/>
    <w:rsid w:val="002922E6"/>
    <w:rsid w:val="002927CD"/>
    <w:rsid w:val="00292808"/>
    <w:rsid w:val="00292B70"/>
    <w:rsid w:val="00292CBD"/>
    <w:rsid w:val="00293056"/>
    <w:rsid w:val="00293504"/>
    <w:rsid w:val="00293559"/>
    <w:rsid w:val="00293C26"/>
    <w:rsid w:val="00294368"/>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4E"/>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2D40"/>
    <w:rsid w:val="002F3DEF"/>
    <w:rsid w:val="002F3F16"/>
    <w:rsid w:val="002F40DA"/>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CEC"/>
    <w:rsid w:val="002F5FDA"/>
    <w:rsid w:val="002F6099"/>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6AC"/>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5EB6"/>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4B3"/>
    <w:rsid w:val="003617B5"/>
    <w:rsid w:val="0036185C"/>
    <w:rsid w:val="003618C8"/>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7A2"/>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1D8"/>
    <w:rsid w:val="0039122C"/>
    <w:rsid w:val="0039124D"/>
    <w:rsid w:val="003914C2"/>
    <w:rsid w:val="00391A92"/>
    <w:rsid w:val="00391AC7"/>
    <w:rsid w:val="0039249C"/>
    <w:rsid w:val="003926BE"/>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97F50"/>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588"/>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E3A"/>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C70"/>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AB3"/>
    <w:rsid w:val="00422DB5"/>
    <w:rsid w:val="0042307B"/>
    <w:rsid w:val="00423326"/>
    <w:rsid w:val="00423921"/>
    <w:rsid w:val="00423A73"/>
    <w:rsid w:val="00423B74"/>
    <w:rsid w:val="0042425E"/>
    <w:rsid w:val="00424649"/>
    <w:rsid w:val="00424925"/>
    <w:rsid w:val="0042507C"/>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CC"/>
    <w:rsid w:val="00437CE2"/>
    <w:rsid w:val="00437FF2"/>
    <w:rsid w:val="004402A7"/>
    <w:rsid w:val="0044035D"/>
    <w:rsid w:val="004404B8"/>
    <w:rsid w:val="004404C3"/>
    <w:rsid w:val="00440B39"/>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EE8"/>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76F"/>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8C3"/>
    <w:rsid w:val="00465AAF"/>
    <w:rsid w:val="00465ADC"/>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69"/>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A7F"/>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383"/>
    <w:rsid w:val="0049792C"/>
    <w:rsid w:val="004A0003"/>
    <w:rsid w:val="004A01E1"/>
    <w:rsid w:val="004A06D4"/>
    <w:rsid w:val="004A0814"/>
    <w:rsid w:val="004A0D1B"/>
    <w:rsid w:val="004A0E00"/>
    <w:rsid w:val="004A15F7"/>
    <w:rsid w:val="004A1600"/>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8D"/>
    <w:rsid w:val="004B169E"/>
    <w:rsid w:val="004B1A9E"/>
    <w:rsid w:val="004B1B53"/>
    <w:rsid w:val="004B1C42"/>
    <w:rsid w:val="004B2587"/>
    <w:rsid w:val="004B26FA"/>
    <w:rsid w:val="004B2700"/>
    <w:rsid w:val="004B2B31"/>
    <w:rsid w:val="004B2C33"/>
    <w:rsid w:val="004B2CDB"/>
    <w:rsid w:val="004B3126"/>
    <w:rsid w:val="004B341E"/>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EA7"/>
    <w:rsid w:val="004C0F99"/>
    <w:rsid w:val="004C116F"/>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19A"/>
    <w:rsid w:val="004E32FE"/>
    <w:rsid w:val="004E3490"/>
    <w:rsid w:val="004E3579"/>
    <w:rsid w:val="004E3892"/>
    <w:rsid w:val="004E3FD8"/>
    <w:rsid w:val="004E4058"/>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2C9"/>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3012B"/>
    <w:rsid w:val="0053045A"/>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33"/>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4A7"/>
    <w:rsid w:val="0055655A"/>
    <w:rsid w:val="00556573"/>
    <w:rsid w:val="00556680"/>
    <w:rsid w:val="005567AA"/>
    <w:rsid w:val="005567BF"/>
    <w:rsid w:val="005569D2"/>
    <w:rsid w:val="00556CE7"/>
    <w:rsid w:val="005570E7"/>
    <w:rsid w:val="0055718D"/>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4BAF"/>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5EF4"/>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A34"/>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5AB"/>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64F"/>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8D8"/>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6D50"/>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D69"/>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58A"/>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424C"/>
    <w:rsid w:val="0062427E"/>
    <w:rsid w:val="006244B1"/>
    <w:rsid w:val="006244BD"/>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B52"/>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FCF"/>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5E76"/>
    <w:rsid w:val="006763E2"/>
    <w:rsid w:val="006767B8"/>
    <w:rsid w:val="00677085"/>
    <w:rsid w:val="00677133"/>
    <w:rsid w:val="00677725"/>
    <w:rsid w:val="00677C2A"/>
    <w:rsid w:val="0068013A"/>
    <w:rsid w:val="00680A97"/>
    <w:rsid w:val="00680B39"/>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B"/>
    <w:rsid w:val="006868CB"/>
    <w:rsid w:val="00686CB9"/>
    <w:rsid w:val="0068721F"/>
    <w:rsid w:val="0068725C"/>
    <w:rsid w:val="00690078"/>
    <w:rsid w:val="0069088B"/>
    <w:rsid w:val="00690D12"/>
    <w:rsid w:val="00690E33"/>
    <w:rsid w:val="00690F0E"/>
    <w:rsid w:val="00691278"/>
    <w:rsid w:val="00691574"/>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59F"/>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264"/>
    <w:rsid w:val="006C375B"/>
    <w:rsid w:val="006C377A"/>
    <w:rsid w:val="006C3B24"/>
    <w:rsid w:val="006C3F40"/>
    <w:rsid w:val="006C40B9"/>
    <w:rsid w:val="006C4164"/>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6B8"/>
    <w:rsid w:val="007047A7"/>
    <w:rsid w:val="007048DD"/>
    <w:rsid w:val="00704A33"/>
    <w:rsid w:val="00704DEB"/>
    <w:rsid w:val="007052F3"/>
    <w:rsid w:val="00705584"/>
    <w:rsid w:val="00705B80"/>
    <w:rsid w:val="00705D51"/>
    <w:rsid w:val="00705E96"/>
    <w:rsid w:val="00706513"/>
    <w:rsid w:val="00706DFB"/>
    <w:rsid w:val="00706E08"/>
    <w:rsid w:val="00706E2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37BC2"/>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C7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3B6"/>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5BB"/>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854"/>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467"/>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50"/>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638"/>
    <w:rsid w:val="007B2C0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D7"/>
    <w:rsid w:val="007E4F0D"/>
    <w:rsid w:val="007E511F"/>
    <w:rsid w:val="007E531F"/>
    <w:rsid w:val="007E54DD"/>
    <w:rsid w:val="007E5581"/>
    <w:rsid w:val="007E5A14"/>
    <w:rsid w:val="007E5B22"/>
    <w:rsid w:val="007E5FE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133"/>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E58"/>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67"/>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B24"/>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5E8"/>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09"/>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83A"/>
    <w:rsid w:val="008E1B76"/>
    <w:rsid w:val="008E1F28"/>
    <w:rsid w:val="008E1F30"/>
    <w:rsid w:val="008E1F9B"/>
    <w:rsid w:val="008E1FDF"/>
    <w:rsid w:val="008E2004"/>
    <w:rsid w:val="008E2018"/>
    <w:rsid w:val="008E2051"/>
    <w:rsid w:val="008E20EC"/>
    <w:rsid w:val="008E24B5"/>
    <w:rsid w:val="008E2562"/>
    <w:rsid w:val="008E2755"/>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B28"/>
    <w:rsid w:val="008E4DE6"/>
    <w:rsid w:val="008E5B5F"/>
    <w:rsid w:val="008E5B80"/>
    <w:rsid w:val="008E5D5A"/>
    <w:rsid w:val="008E6333"/>
    <w:rsid w:val="008E63CD"/>
    <w:rsid w:val="008E6718"/>
    <w:rsid w:val="008E6788"/>
    <w:rsid w:val="008E679B"/>
    <w:rsid w:val="008E6DE1"/>
    <w:rsid w:val="008E7047"/>
    <w:rsid w:val="008E7724"/>
    <w:rsid w:val="008E7DB3"/>
    <w:rsid w:val="008F01AB"/>
    <w:rsid w:val="008F0460"/>
    <w:rsid w:val="008F0537"/>
    <w:rsid w:val="008F0583"/>
    <w:rsid w:val="008F096D"/>
    <w:rsid w:val="008F0D27"/>
    <w:rsid w:val="008F1313"/>
    <w:rsid w:val="008F1633"/>
    <w:rsid w:val="008F1CF8"/>
    <w:rsid w:val="008F1D6C"/>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3B9"/>
    <w:rsid w:val="0091252D"/>
    <w:rsid w:val="009131D7"/>
    <w:rsid w:val="009135DB"/>
    <w:rsid w:val="00913750"/>
    <w:rsid w:val="009138EB"/>
    <w:rsid w:val="00913AEE"/>
    <w:rsid w:val="00913F4C"/>
    <w:rsid w:val="00913FB5"/>
    <w:rsid w:val="0091404B"/>
    <w:rsid w:val="0091423A"/>
    <w:rsid w:val="009143D6"/>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1D"/>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82E"/>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B43"/>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67F4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1BB1"/>
    <w:rsid w:val="00982295"/>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00D"/>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79B"/>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EB"/>
    <w:rsid w:val="009C308A"/>
    <w:rsid w:val="009C31B7"/>
    <w:rsid w:val="009C3815"/>
    <w:rsid w:val="009C383A"/>
    <w:rsid w:val="009C3A87"/>
    <w:rsid w:val="009C3D88"/>
    <w:rsid w:val="009C3ED9"/>
    <w:rsid w:val="009C3EEC"/>
    <w:rsid w:val="009C401F"/>
    <w:rsid w:val="009C4074"/>
    <w:rsid w:val="009C475E"/>
    <w:rsid w:val="009C48F1"/>
    <w:rsid w:val="009C4A0D"/>
    <w:rsid w:val="009C520B"/>
    <w:rsid w:val="009C530C"/>
    <w:rsid w:val="009C5785"/>
    <w:rsid w:val="009C5874"/>
    <w:rsid w:val="009C59CB"/>
    <w:rsid w:val="009C5BB3"/>
    <w:rsid w:val="009C5BEB"/>
    <w:rsid w:val="009C64A2"/>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EA9"/>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06"/>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956"/>
    <w:rsid w:val="00A33BC8"/>
    <w:rsid w:val="00A33C3D"/>
    <w:rsid w:val="00A33C9E"/>
    <w:rsid w:val="00A33E75"/>
    <w:rsid w:val="00A33F4E"/>
    <w:rsid w:val="00A341F0"/>
    <w:rsid w:val="00A349A8"/>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0E0"/>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3FCC"/>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356"/>
    <w:rsid w:val="00AA69EF"/>
    <w:rsid w:val="00AA6A93"/>
    <w:rsid w:val="00AA6B64"/>
    <w:rsid w:val="00AA6F9A"/>
    <w:rsid w:val="00AA7C4F"/>
    <w:rsid w:val="00AB001C"/>
    <w:rsid w:val="00AB003A"/>
    <w:rsid w:val="00AB0219"/>
    <w:rsid w:val="00AB02C8"/>
    <w:rsid w:val="00AB06B8"/>
    <w:rsid w:val="00AB0ADE"/>
    <w:rsid w:val="00AB0CA0"/>
    <w:rsid w:val="00AB102D"/>
    <w:rsid w:val="00AB1A33"/>
    <w:rsid w:val="00AB1BBE"/>
    <w:rsid w:val="00AB1BDF"/>
    <w:rsid w:val="00AB1C99"/>
    <w:rsid w:val="00AB268D"/>
    <w:rsid w:val="00AB26CB"/>
    <w:rsid w:val="00AB2857"/>
    <w:rsid w:val="00AB2AE9"/>
    <w:rsid w:val="00AB2FE7"/>
    <w:rsid w:val="00AB3299"/>
    <w:rsid w:val="00AB3418"/>
    <w:rsid w:val="00AB3491"/>
    <w:rsid w:val="00AB3514"/>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B3F"/>
    <w:rsid w:val="00AC1191"/>
    <w:rsid w:val="00AC1281"/>
    <w:rsid w:val="00AC1500"/>
    <w:rsid w:val="00AC1569"/>
    <w:rsid w:val="00AC165D"/>
    <w:rsid w:val="00AC1774"/>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193"/>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6B9"/>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4AB"/>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A29"/>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6E33"/>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CA9"/>
    <w:rsid w:val="00BD0FC4"/>
    <w:rsid w:val="00BD1255"/>
    <w:rsid w:val="00BD140B"/>
    <w:rsid w:val="00BD1624"/>
    <w:rsid w:val="00BD173D"/>
    <w:rsid w:val="00BD187A"/>
    <w:rsid w:val="00BD19F3"/>
    <w:rsid w:val="00BD1C81"/>
    <w:rsid w:val="00BD1CC2"/>
    <w:rsid w:val="00BD238C"/>
    <w:rsid w:val="00BD2847"/>
    <w:rsid w:val="00BD2A08"/>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AAC"/>
    <w:rsid w:val="00C00BFD"/>
    <w:rsid w:val="00C00C57"/>
    <w:rsid w:val="00C00F1A"/>
    <w:rsid w:val="00C010F5"/>
    <w:rsid w:val="00C01121"/>
    <w:rsid w:val="00C0117F"/>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A19"/>
    <w:rsid w:val="00C21B1D"/>
    <w:rsid w:val="00C22168"/>
    <w:rsid w:val="00C222CF"/>
    <w:rsid w:val="00C223DE"/>
    <w:rsid w:val="00C224C8"/>
    <w:rsid w:val="00C22AB1"/>
    <w:rsid w:val="00C232DD"/>
    <w:rsid w:val="00C2354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51A"/>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605"/>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335"/>
    <w:rsid w:val="00C37493"/>
    <w:rsid w:val="00C375C5"/>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E35"/>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01F"/>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798"/>
    <w:rsid w:val="00CB68B3"/>
    <w:rsid w:val="00CB6F9E"/>
    <w:rsid w:val="00CB746A"/>
    <w:rsid w:val="00CB7648"/>
    <w:rsid w:val="00CB7B6B"/>
    <w:rsid w:val="00CC009C"/>
    <w:rsid w:val="00CC00B7"/>
    <w:rsid w:val="00CC012F"/>
    <w:rsid w:val="00CC034B"/>
    <w:rsid w:val="00CC0438"/>
    <w:rsid w:val="00CC05BB"/>
    <w:rsid w:val="00CC0AA7"/>
    <w:rsid w:val="00CC0BA2"/>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92F"/>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650"/>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30048"/>
    <w:rsid w:val="00D304E3"/>
    <w:rsid w:val="00D305A4"/>
    <w:rsid w:val="00D30983"/>
    <w:rsid w:val="00D30C46"/>
    <w:rsid w:val="00D30FC7"/>
    <w:rsid w:val="00D31411"/>
    <w:rsid w:val="00D31B49"/>
    <w:rsid w:val="00D31B9F"/>
    <w:rsid w:val="00D31BEA"/>
    <w:rsid w:val="00D32590"/>
    <w:rsid w:val="00D32B6E"/>
    <w:rsid w:val="00D33313"/>
    <w:rsid w:val="00D33410"/>
    <w:rsid w:val="00D33463"/>
    <w:rsid w:val="00D337EA"/>
    <w:rsid w:val="00D33AB3"/>
    <w:rsid w:val="00D33AFC"/>
    <w:rsid w:val="00D33C09"/>
    <w:rsid w:val="00D3410B"/>
    <w:rsid w:val="00D344C9"/>
    <w:rsid w:val="00D34A05"/>
    <w:rsid w:val="00D34F62"/>
    <w:rsid w:val="00D353FF"/>
    <w:rsid w:val="00D3553C"/>
    <w:rsid w:val="00D35A11"/>
    <w:rsid w:val="00D35F48"/>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5FC"/>
    <w:rsid w:val="00D436E0"/>
    <w:rsid w:val="00D4370A"/>
    <w:rsid w:val="00D43888"/>
    <w:rsid w:val="00D43AF2"/>
    <w:rsid w:val="00D43CF9"/>
    <w:rsid w:val="00D43D44"/>
    <w:rsid w:val="00D440D2"/>
    <w:rsid w:val="00D4429F"/>
    <w:rsid w:val="00D44336"/>
    <w:rsid w:val="00D444C3"/>
    <w:rsid w:val="00D445A8"/>
    <w:rsid w:val="00D448BD"/>
    <w:rsid w:val="00D44A5C"/>
    <w:rsid w:val="00D453F7"/>
    <w:rsid w:val="00D45581"/>
    <w:rsid w:val="00D457B0"/>
    <w:rsid w:val="00D458AB"/>
    <w:rsid w:val="00D45C69"/>
    <w:rsid w:val="00D45D57"/>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37D"/>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533"/>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5B1"/>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F5"/>
    <w:rsid w:val="00D662E2"/>
    <w:rsid w:val="00D66D6F"/>
    <w:rsid w:val="00D66DAA"/>
    <w:rsid w:val="00D66F63"/>
    <w:rsid w:val="00D671E9"/>
    <w:rsid w:val="00D67CDC"/>
    <w:rsid w:val="00D7010A"/>
    <w:rsid w:val="00D7040B"/>
    <w:rsid w:val="00D708A1"/>
    <w:rsid w:val="00D70F5E"/>
    <w:rsid w:val="00D70F87"/>
    <w:rsid w:val="00D7123A"/>
    <w:rsid w:val="00D71326"/>
    <w:rsid w:val="00D71EE6"/>
    <w:rsid w:val="00D71EE8"/>
    <w:rsid w:val="00D71F20"/>
    <w:rsid w:val="00D72081"/>
    <w:rsid w:val="00D72115"/>
    <w:rsid w:val="00D721D8"/>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903"/>
    <w:rsid w:val="00D85ABA"/>
    <w:rsid w:val="00D864A4"/>
    <w:rsid w:val="00D86AC6"/>
    <w:rsid w:val="00D86B37"/>
    <w:rsid w:val="00D86ED1"/>
    <w:rsid w:val="00D86FDD"/>
    <w:rsid w:val="00D87154"/>
    <w:rsid w:val="00D8778A"/>
    <w:rsid w:val="00D87A51"/>
    <w:rsid w:val="00D9045F"/>
    <w:rsid w:val="00D90F57"/>
    <w:rsid w:val="00D91009"/>
    <w:rsid w:val="00D9120D"/>
    <w:rsid w:val="00D9126A"/>
    <w:rsid w:val="00D912DF"/>
    <w:rsid w:val="00D91C54"/>
    <w:rsid w:val="00D91E52"/>
    <w:rsid w:val="00D91F8C"/>
    <w:rsid w:val="00D91FC3"/>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4E6"/>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C0669"/>
    <w:rsid w:val="00DC0715"/>
    <w:rsid w:val="00DC0F66"/>
    <w:rsid w:val="00DC0F93"/>
    <w:rsid w:val="00DC1384"/>
    <w:rsid w:val="00DC13D4"/>
    <w:rsid w:val="00DC1479"/>
    <w:rsid w:val="00DC1624"/>
    <w:rsid w:val="00DC1711"/>
    <w:rsid w:val="00DC1763"/>
    <w:rsid w:val="00DC1C38"/>
    <w:rsid w:val="00DC2040"/>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DEB"/>
    <w:rsid w:val="00DF0E63"/>
    <w:rsid w:val="00DF0FE6"/>
    <w:rsid w:val="00DF1300"/>
    <w:rsid w:val="00DF13EC"/>
    <w:rsid w:val="00DF1758"/>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9D5"/>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4F0"/>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B0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282"/>
    <w:rsid w:val="00E428BB"/>
    <w:rsid w:val="00E42975"/>
    <w:rsid w:val="00E42E50"/>
    <w:rsid w:val="00E42FF3"/>
    <w:rsid w:val="00E432AE"/>
    <w:rsid w:val="00E4356E"/>
    <w:rsid w:val="00E435E2"/>
    <w:rsid w:val="00E43A23"/>
    <w:rsid w:val="00E43C25"/>
    <w:rsid w:val="00E43F1E"/>
    <w:rsid w:val="00E43FBE"/>
    <w:rsid w:val="00E44800"/>
    <w:rsid w:val="00E448EA"/>
    <w:rsid w:val="00E449E9"/>
    <w:rsid w:val="00E44AD7"/>
    <w:rsid w:val="00E44B2C"/>
    <w:rsid w:val="00E44C1F"/>
    <w:rsid w:val="00E44DB8"/>
    <w:rsid w:val="00E44F6A"/>
    <w:rsid w:val="00E452D0"/>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A87"/>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2DC"/>
    <w:rsid w:val="00E624DA"/>
    <w:rsid w:val="00E629F9"/>
    <w:rsid w:val="00E62AF2"/>
    <w:rsid w:val="00E62EE5"/>
    <w:rsid w:val="00E62FD5"/>
    <w:rsid w:val="00E630F7"/>
    <w:rsid w:val="00E634C7"/>
    <w:rsid w:val="00E63614"/>
    <w:rsid w:val="00E63E8C"/>
    <w:rsid w:val="00E63EF4"/>
    <w:rsid w:val="00E6412A"/>
    <w:rsid w:val="00E64286"/>
    <w:rsid w:val="00E64763"/>
    <w:rsid w:val="00E64F36"/>
    <w:rsid w:val="00E65217"/>
    <w:rsid w:val="00E655CD"/>
    <w:rsid w:val="00E65959"/>
    <w:rsid w:val="00E65D7A"/>
    <w:rsid w:val="00E65E6B"/>
    <w:rsid w:val="00E6640D"/>
    <w:rsid w:val="00E66718"/>
    <w:rsid w:val="00E667BC"/>
    <w:rsid w:val="00E6682F"/>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2"/>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91C"/>
    <w:rsid w:val="00EB4A13"/>
    <w:rsid w:val="00EB534C"/>
    <w:rsid w:val="00EB53A5"/>
    <w:rsid w:val="00EB5476"/>
    <w:rsid w:val="00EB55D2"/>
    <w:rsid w:val="00EB57B2"/>
    <w:rsid w:val="00EB57E7"/>
    <w:rsid w:val="00EB5931"/>
    <w:rsid w:val="00EB593E"/>
    <w:rsid w:val="00EB5A62"/>
    <w:rsid w:val="00EB5CC3"/>
    <w:rsid w:val="00EB6440"/>
    <w:rsid w:val="00EB6442"/>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F79"/>
    <w:rsid w:val="00EC2106"/>
    <w:rsid w:val="00EC2591"/>
    <w:rsid w:val="00EC2E21"/>
    <w:rsid w:val="00EC331F"/>
    <w:rsid w:val="00EC33A0"/>
    <w:rsid w:val="00EC345E"/>
    <w:rsid w:val="00EC36DD"/>
    <w:rsid w:val="00EC382E"/>
    <w:rsid w:val="00EC3BAB"/>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950"/>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6EF"/>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0506"/>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4A2"/>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D07"/>
    <w:rsid w:val="00F80D8F"/>
    <w:rsid w:val="00F81311"/>
    <w:rsid w:val="00F81507"/>
    <w:rsid w:val="00F8155A"/>
    <w:rsid w:val="00F81625"/>
    <w:rsid w:val="00F81A1C"/>
    <w:rsid w:val="00F81C47"/>
    <w:rsid w:val="00F81E0E"/>
    <w:rsid w:val="00F81E87"/>
    <w:rsid w:val="00F81F25"/>
    <w:rsid w:val="00F81F57"/>
    <w:rsid w:val="00F81F94"/>
    <w:rsid w:val="00F821CB"/>
    <w:rsid w:val="00F822CE"/>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F5"/>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8E"/>
    <w:rsid w:val="00FA04BE"/>
    <w:rsid w:val="00FA0509"/>
    <w:rsid w:val="00FA0A8A"/>
    <w:rsid w:val="00FA0E7C"/>
    <w:rsid w:val="00FA1CBF"/>
    <w:rsid w:val="00FA1D8F"/>
    <w:rsid w:val="00FA1F1D"/>
    <w:rsid w:val="00FA2002"/>
    <w:rsid w:val="00FA23C6"/>
    <w:rsid w:val="00FA2526"/>
    <w:rsid w:val="00FA25D5"/>
    <w:rsid w:val="00FA2AB0"/>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0A2"/>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58C"/>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732"/>
    <w:rsid w:val="00FD7E42"/>
    <w:rsid w:val="00FD7F6A"/>
    <w:rsid w:val="00FE0295"/>
    <w:rsid w:val="00FE04B6"/>
    <w:rsid w:val="00FE058F"/>
    <w:rsid w:val="00FE05E5"/>
    <w:rsid w:val="00FE0657"/>
    <w:rsid w:val="00FE07D8"/>
    <w:rsid w:val="00FE134F"/>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769"/>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3.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71D08-964A-497B-BB77-90733AEFC7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18332</TotalTime>
  <Pages>1</Pages>
  <Words>1171</Words>
  <Characters>6679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7835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Victor</cp:lastModifiedBy>
  <cp:revision>1556</cp:revision>
  <cp:lastPrinted>2011-11-09T07:49:00Z</cp:lastPrinted>
  <dcterms:created xsi:type="dcterms:W3CDTF">2018-11-02T18:38:00Z</dcterms:created>
  <dcterms:modified xsi:type="dcterms:W3CDTF">2021-05-11T19:47:00Z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